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E9FC" w14:textId="77777777" w:rsidR="005C0E2C" w:rsidRPr="00D14A4F" w:rsidRDefault="005C0E2C" w:rsidP="00A443F4">
      <w:pPr>
        <w:spacing w:line="240" w:lineRule="auto"/>
        <w:jc w:val="center"/>
        <w:rPr>
          <w:rFonts w:ascii="Arial" w:hAnsi="Arial" w:cs="Arial"/>
        </w:rPr>
      </w:pPr>
    </w:p>
    <w:p w14:paraId="17F0325B" w14:textId="77777777" w:rsidR="005C0E2C" w:rsidRPr="00D14A4F" w:rsidRDefault="005C0E2C" w:rsidP="00A443F4">
      <w:pPr>
        <w:spacing w:line="240" w:lineRule="auto"/>
        <w:jc w:val="center"/>
        <w:rPr>
          <w:rFonts w:ascii="Arial" w:hAnsi="Arial" w:cs="Arial"/>
        </w:rPr>
      </w:pPr>
      <w:r w:rsidRPr="00D14A4F">
        <w:rPr>
          <w:rFonts w:ascii="Arial" w:eastAsia="Arial" w:hAnsi="Arial" w:cs="Arial"/>
          <w:noProof/>
          <w:kern w:val="0"/>
          <w:lang w:val="en" w:eastAsia="en-AU"/>
          <w14:ligatures w14:val="none"/>
        </w:rPr>
        <w:drawing>
          <wp:inline distT="0" distB="0" distL="0" distR="0" wp14:anchorId="29F4F18F" wp14:editId="34E3C31B">
            <wp:extent cx="2343150" cy="962025"/>
            <wp:effectExtent l="0" t="0" r="0" b="9525"/>
            <wp:docPr id="1299495775" name="Picture 5" descr="Centre for Accessibilit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Centre for Accessibility logo">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962025"/>
                    </a:xfrm>
                    <a:prstGeom prst="rect">
                      <a:avLst/>
                    </a:prstGeom>
                    <a:noFill/>
                    <a:ln>
                      <a:noFill/>
                    </a:ln>
                  </pic:spPr>
                </pic:pic>
              </a:graphicData>
            </a:graphic>
          </wp:inline>
        </w:drawing>
      </w:r>
    </w:p>
    <w:p w14:paraId="74C87D4F" w14:textId="77777777" w:rsidR="005C0E2C" w:rsidRPr="00D14A4F" w:rsidRDefault="005C0E2C" w:rsidP="00A443F4">
      <w:pPr>
        <w:shd w:val="clear" w:color="auto" w:fill="FFFFFF"/>
        <w:spacing w:before="240" w:after="60" w:line="240" w:lineRule="auto"/>
        <w:ind w:left="720"/>
        <w:outlineLvl w:val="0"/>
        <w:rPr>
          <w:rFonts w:ascii="Arial" w:eastAsia="Times New Roman" w:hAnsi="Arial" w:cs="Arial"/>
          <w:b/>
          <w:bCs/>
          <w:color w:val="404040"/>
          <w:kern w:val="0"/>
          <w:sz w:val="28"/>
          <w:lang w:val="en-GB" w:eastAsia="en-GB"/>
          <w14:ligatures w14:val="none"/>
        </w:rPr>
      </w:pPr>
      <w:bookmarkStart w:id="0" w:name="_Toc178337655"/>
      <w:r w:rsidRPr="00D14A4F">
        <w:rPr>
          <w:rFonts w:ascii="Arial" w:eastAsia="Times New Roman" w:hAnsi="Arial" w:cs="Arial"/>
          <w:b/>
          <w:bCs/>
          <w:color w:val="404040"/>
          <w:kern w:val="0"/>
          <w:sz w:val="28"/>
          <w:lang w:val="en-GB" w:eastAsia="en-GB"/>
          <w14:ligatures w14:val="none"/>
        </w:rPr>
        <w:t>Centre for Accessibility Australia</w:t>
      </w:r>
      <w:bookmarkEnd w:id="0"/>
      <w:r w:rsidRPr="00D14A4F">
        <w:rPr>
          <w:rFonts w:ascii="Arial" w:eastAsia="Times New Roman" w:hAnsi="Arial" w:cs="Arial"/>
          <w:b/>
          <w:bCs/>
          <w:color w:val="404040"/>
          <w:kern w:val="0"/>
          <w:sz w:val="28"/>
          <w:lang w:val="en-GB" w:eastAsia="en-GB"/>
          <w14:ligatures w14:val="none"/>
        </w:rPr>
        <w:t xml:space="preserve"> </w:t>
      </w:r>
    </w:p>
    <w:p w14:paraId="4A7C3F01"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1B89D438" w14:textId="77777777" w:rsidR="005C0E2C" w:rsidRPr="00D14A4F" w:rsidRDefault="005C0E2C" w:rsidP="00A443F4">
      <w:pPr>
        <w:spacing w:after="0" w:line="240" w:lineRule="auto"/>
        <w:ind w:left="720"/>
        <w:rPr>
          <w:rFonts w:ascii="Arial" w:eastAsia="Times New Roman" w:hAnsi="Arial" w:cs="Arial"/>
          <w:color w:val="404040"/>
          <w:kern w:val="0"/>
          <w:sz w:val="56"/>
          <w:szCs w:val="56"/>
          <w:lang w:eastAsia="en-GB"/>
          <w14:ligatures w14:val="none"/>
        </w:rPr>
      </w:pPr>
      <w:r w:rsidRPr="00D14A4F">
        <w:rPr>
          <w:rFonts w:ascii="Arial" w:eastAsia="Times New Roman" w:hAnsi="Arial" w:cs="Arial"/>
          <w:b/>
          <w:bCs/>
          <w:color w:val="404040"/>
          <w:kern w:val="0"/>
          <w:sz w:val="56"/>
          <w:szCs w:val="56"/>
          <w:lang w:eastAsia="en-GB"/>
          <w14:ligatures w14:val="none"/>
        </w:rPr>
        <w:t xml:space="preserve">Cancellations for All: </w:t>
      </w:r>
      <w:r w:rsidRPr="00D14A4F">
        <w:rPr>
          <w:rFonts w:ascii="Arial" w:eastAsia="Times New Roman" w:hAnsi="Arial" w:cs="Arial"/>
          <w:b/>
          <w:bCs/>
          <w:color w:val="404040"/>
          <w:kern w:val="0"/>
          <w:sz w:val="56"/>
          <w:szCs w:val="56"/>
          <w:lang w:eastAsia="en-GB"/>
          <w14:ligatures w14:val="none"/>
        </w:rPr>
        <w:br/>
      </w:r>
      <w:r w:rsidRPr="00D14A4F">
        <w:rPr>
          <w:rFonts w:ascii="Arial" w:eastAsia="Times New Roman" w:hAnsi="Arial" w:cs="Arial"/>
          <w:color w:val="404040"/>
          <w:kern w:val="0"/>
          <w:sz w:val="56"/>
          <w:szCs w:val="56"/>
          <w:lang w:eastAsia="en-GB"/>
          <w14:ligatures w14:val="none"/>
        </w:rPr>
        <w:t>Addressing Key Accessibility Issues Faced by Consumers</w:t>
      </w:r>
      <w:r w:rsidRPr="00D14A4F">
        <w:rPr>
          <w:rFonts w:ascii="Arial" w:eastAsia="Times New Roman" w:hAnsi="Arial" w:cs="Arial"/>
          <w:color w:val="404040"/>
          <w:kern w:val="0"/>
          <w:sz w:val="56"/>
          <w:szCs w:val="56"/>
          <w:lang w:eastAsia="en-GB"/>
          <w14:ligatures w14:val="none"/>
        </w:rPr>
        <w:br/>
        <w:t xml:space="preserve">When Cancelling Prepaid Mobile Services on Telecommunications </w:t>
      </w:r>
      <w:r w:rsidRPr="00D14A4F">
        <w:rPr>
          <w:rFonts w:ascii="Arial" w:eastAsia="Times New Roman" w:hAnsi="Arial" w:cs="Arial"/>
          <w:color w:val="404040"/>
          <w:kern w:val="0"/>
          <w:sz w:val="56"/>
          <w:szCs w:val="56"/>
          <w:lang w:eastAsia="en-GB"/>
          <w14:ligatures w14:val="none"/>
        </w:rPr>
        <w:br/>
        <w:t>Carrier Applications and Websites</w:t>
      </w:r>
    </w:p>
    <w:p w14:paraId="119F2D6E" w14:textId="77777777" w:rsidR="005C0E2C" w:rsidRPr="00D14A4F" w:rsidRDefault="005C0E2C" w:rsidP="00A443F4">
      <w:pPr>
        <w:spacing w:after="0" w:line="240" w:lineRule="auto"/>
        <w:ind w:left="720"/>
        <w:rPr>
          <w:rFonts w:ascii="Arial" w:eastAsia="Times New Roman" w:hAnsi="Arial" w:cs="Arial"/>
          <w:color w:val="404040"/>
          <w:kern w:val="0"/>
          <w:sz w:val="36"/>
          <w:szCs w:val="36"/>
          <w:lang w:eastAsia="en-GB"/>
          <w14:ligatures w14:val="none"/>
        </w:rPr>
      </w:pPr>
    </w:p>
    <w:p w14:paraId="229E9A92"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399CA310"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4928765A"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305136DC"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36B2596F"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731DC40C"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57F70090" w14:textId="77777777" w:rsidR="005C0E2C" w:rsidRPr="00D14A4F" w:rsidRDefault="005C0E2C" w:rsidP="00A443F4">
      <w:pPr>
        <w:spacing w:after="0" w:line="240" w:lineRule="auto"/>
        <w:ind w:left="720"/>
        <w:rPr>
          <w:rFonts w:ascii="Arial" w:eastAsia="Times New Roman" w:hAnsi="Arial" w:cs="Arial"/>
          <w:kern w:val="0"/>
          <w:sz w:val="36"/>
          <w:szCs w:val="36"/>
          <w:lang w:eastAsia="en-GB"/>
          <w14:ligatures w14:val="none"/>
        </w:rPr>
      </w:pPr>
    </w:p>
    <w:p w14:paraId="39DD660F" w14:textId="6D340202" w:rsidR="005C0E2C" w:rsidRPr="00D14A4F" w:rsidRDefault="00FF1339" w:rsidP="00A443F4">
      <w:pPr>
        <w:spacing w:after="0" w:line="240" w:lineRule="auto"/>
        <w:ind w:left="720"/>
        <w:rPr>
          <w:rFonts w:ascii="Arial" w:eastAsia="Times New Roman" w:hAnsi="Arial" w:cs="Arial"/>
          <w:b/>
          <w:bCs/>
          <w:color w:val="404040"/>
          <w:kern w:val="0"/>
          <w:sz w:val="28"/>
          <w:szCs w:val="28"/>
          <w:lang w:eastAsia="en-GB"/>
          <w14:ligatures w14:val="none"/>
        </w:rPr>
      </w:pPr>
      <w:r>
        <w:rPr>
          <w:rFonts w:ascii="Arial" w:eastAsia="Times New Roman" w:hAnsi="Arial" w:cs="Arial"/>
          <w:b/>
          <w:bCs/>
          <w:color w:val="404040"/>
          <w:kern w:val="0"/>
          <w:sz w:val="28"/>
          <w:szCs w:val="28"/>
          <w:lang w:eastAsia="en-GB"/>
          <w14:ligatures w14:val="none"/>
        </w:rPr>
        <w:t>Companion</w:t>
      </w:r>
      <w:r w:rsidR="005C0E2C" w:rsidRPr="00D14A4F">
        <w:rPr>
          <w:rFonts w:ascii="Arial" w:eastAsia="Times New Roman" w:hAnsi="Arial" w:cs="Arial"/>
          <w:b/>
          <w:bCs/>
          <w:color w:val="404040"/>
          <w:kern w:val="0"/>
          <w:sz w:val="28"/>
          <w:szCs w:val="28"/>
          <w:lang w:eastAsia="en-GB"/>
          <w14:ligatures w14:val="none"/>
        </w:rPr>
        <w:t xml:space="preserve"> Report</w:t>
      </w:r>
    </w:p>
    <w:p w14:paraId="7DA12DCE" w14:textId="77777777" w:rsidR="005C0E2C" w:rsidRPr="00D14A4F" w:rsidRDefault="005C0E2C" w:rsidP="00A443F4">
      <w:pPr>
        <w:spacing w:after="0" w:line="240" w:lineRule="auto"/>
        <w:ind w:left="720"/>
        <w:rPr>
          <w:rFonts w:ascii="Arial" w:eastAsia="Times New Roman" w:hAnsi="Arial" w:cs="Arial"/>
          <w:color w:val="404040"/>
          <w:kern w:val="0"/>
          <w:sz w:val="28"/>
          <w:szCs w:val="28"/>
          <w:lang w:eastAsia="en-GB"/>
          <w14:ligatures w14:val="none"/>
        </w:rPr>
      </w:pPr>
    </w:p>
    <w:p w14:paraId="2B67284E" w14:textId="1C4B6372" w:rsidR="005C0E2C" w:rsidRPr="00D14A4F" w:rsidRDefault="00C331C9" w:rsidP="00A443F4">
      <w:pPr>
        <w:spacing w:after="0" w:line="240" w:lineRule="auto"/>
        <w:ind w:left="720"/>
        <w:rPr>
          <w:rFonts w:ascii="Arial" w:eastAsia="Times New Roman" w:hAnsi="Arial" w:cs="Arial"/>
          <w:color w:val="404040"/>
          <w:kern w:val="0"/>
          <w:sz w:val="28"/>
          <w:szCs w:val="28"/>
          <w:lang w:eastAsia="en-GB"/>
          <w14:ligatures w14:val="none"/>
        </w:rPr>
      </w:pPr>
      <w:r>
        <w:rPr>
          <w:rFonts w:ascii="Arial" w:eastAsia="Times New Roman" w:hAnsi="Arial" w:cs="Arial"/>
          <w:color w:val="404040"/>
          <w:kern w:val="0"/>
          <w:sz w:val="28"/>
          <w:szCs w:val="28"/>
          <w:lang w:eastAsia="en-GB"/>
          <w14:ligatures w14:val="none"/>
        </w:rPr>
        <w:t>September</w:t>
      </w:r>
      <w:r w:rsidR="005C0E2C" w:rsidRPr="00D14A4F">
        <w:rPr>
          <w:rFonts w:ascii="Arial" w:eastAsia="Times New Roman" w:hAnsi="Arial" w:cs="Arial"/>
          <w:color w:val="404040"/>
          <w:kern w:val="0"/>
          <w:sz w:val="28"/>
          <w:szCs w:val="28"/>
          <w:lang w:eastAsia="en-GB"/>
          <w14:ligatures w14:val="none"/>
        </w:rPr>
        <w:t xml:space="preserve"> 2024</w:t>
      </w:r>
    </w:p>
    <w:p w14:paraId="3347E27F" w14:textId="5D0572E4" w:rsidR="005C0E2C" w:rsidRPr="00D14A4F" w:rsidRDefault="005C0E2C" w:rsidP="00A443F4">
      <w:pPr>
        <w:spacing w:line="240" w:lineRule="auto"/>
        <w:rPr>
          <w:rFonts w:ascii="Arial" w:eastAsia="Times New Roman" w:hAnsi="Arial" w:cs="Arial"/>
          <w:color w:val="404040"/>
          <w:kern w:val="0"/>
          <w:sz w:val="28"/>
          <w:szCs w:val="28"/>
          <w:lang w:eastAsia="en-GB"/>
          <w14:ligatures w14:val="none"/>
        </w:rPr>
      </w:pPr>
      <w:r w:rsidRPr="00D14A4F">
        <w:rPr>
          <w:rFonts w:ascii="Arial" w:eastAsia="Times New Roman" w:hAnsi="Arial" w:cs="Arial"/>
          <w:color w:val="404040"/>
          <w:kern w:val="0"/>
          <w:sz w:val="28"/>
          <w:szCs w:val="28"/>
          <w:lang w:eastAsia="en-GB"/>
          <w14:ligatures w14:val="none"/>
        </w:rPr>
        <w:br w:type="page"/>
      </w:r>
    </w:p>
    <w:p w14:paraId="7FC75EF9" w14:textId="77777777" w:rsidR="005C0E2C" w:rsidRPr="00D14A4F" w:rsidRDefault="005C0E2C" w:rsidP="00A443F4">
      <w:pPr>
        <w:shd w:val="clear" w:color="auto" w:fill="FFFFFF"/>
        <w:spacing w:before="240" w:after="60" w:line="240" w:lineRule="auto"/>
        <w:outlineLvl w:val="0"/>
        <w:rPr>
          <w:rFonts w:ascii="Arial" w:eastAsia="Times New Roman" w:hAnsi="Arial" w:cs="Arial"/>
          <w:b/>
          <w:bCs/>
          <w:color w:val="404040"/>
          <w:kern w:val="0"/>
          <w:sz w:val="28"/>
          <w:lang w:val="en-GB" w:eastAsia="en-GB"/>
          <w14:ligatures w14:val="none"/>
        </w:rPr>
      </w:pPr>
      <w:bookmarkStart w:id="1" w:name="_Toc178337656"/>
      <w:r w:rsidRPr="00D14A4F">
        <w:rPr>
          <w:rFonts w:ascii="Arial" w:eastAsia="Times New Roman" w:hAnsi="Arial" w:cs="Arial"/>
          <w:b/>
          <w:bCs/>
          <w:color w:val="404040"/>
          <w:kern w:val="0"/>
          <w:sz w:val="28"/>
          <w:lang w:val="en-GB" w:eastAsia="en-GB"/>
          <w14:ligatures w14:val="none"/>
        </w:rPr>
        <w:lastRenderedPageBreak/>
        <w:t>About Centre for Accessibility Australia</w:t>
      </w:r>
      <w:bookmarkEnd w:id="1"/>
    </w:p>
    <w:p w14:paraId="1E93735D" w14:textId="77777777" w:rsidR="005C0E2C" w:rsidRPr="00D14A4F" w:rsidRDefault="005C0E2C" w:rsidP="00A443F4">
      <w:pPr>
        <w:spacing w:after="0" w:line="240" w:lineRule="auto"/>
        <w:rPr>
          <w:rFonts w:ascii="Arial" w:eastAsia="Times New Roman" w:hAnsi="Arial" w:cs="Arial"/>
          <w:b/>
          <w:color w:val="404040"/>
          <w:kern w:val="0"/>
          <w:lang w:eastAsia="en-GB"/>
          <w14:ligatures w14:val="none"/>
        </w:rPr>
      </w:pPr>
    </w:p>
    <w:p w14:paraId="19BD88D6"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r w:rsidRPr="00D14A4F">
        <w:rPr>
          <w:rFonts w:ascii="Arial" w:eastAsia="Times New Roman" w:hAnsi="Arial" w:cs="Arial"/>
          <w:color w:val="404040"/>
          <w:kern w:val="0"/>
          <w:lang w:eastAsia="en-GB"/>
          <w14:ligatures w14:val="none"/>
        </w:rPr>
        <w:t>The Centre for Accessibility Australia (CFA Australia) is an award-winning disability-led not-for-profit organisation that works to promote digital access.</w:t>
      </w:r>
    </w:p>
    <w:p w14:paraId="17372940"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p>
    <w:p w14:paraId="3A3635DF"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r w:rsidRPr="00D14A4F">
        <w:rPr>
          <w:rFonts w:ascii="Arial" w:eastAsia="Times New Roman" w:hAnsi="Arial" w:cs="Arial"/>
          <w:color w:val="404040"/>
          <w:kern w:val="0"/>
          <w:lang w:eastAsia="en-GB"/>
          <w14:ligatures w14:val="none"/>
        </w:rPr>
        <w:t>The digital world is an amazing resource that all of us increasingly rely on; however, the reality for people living with disability is that much of the internet remains inaccessible. CFA Australia coordinates a number of projects designed to reduce the accessibility gap and empower organisations to effectively implement accessibility.</w:t>
      </w:r>
    </w:p>
    <w:p w14:paraId="4CBD79A3"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p>
    <w:p w14:paraId="1BF042F3"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provide training for organisations and individuals looking to implement accessibility.</w:t>
      </w:r>
    </w:p>
    <w:p w14:paraId="6B452ADC"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provide website auditing services for organisations looking to access and improve their accessibility.</w:t>
      </w:r>
    </w:p>
    <w:p w14:paraId="578A17CE"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develop free, highly accessible online resources for content creators and organisations to promote and respond to digital access.</w:t>
      </w:r>
    </w:p>
    <w:p w14:paraId="67C02A9A"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create free online resources for people with disabilities on how to use Assistive Technology. These resources will include how-to guides for Assistive Technologies (AT), product advice about AT, and a free helpdesk that provides information and assistance about AT for people with disabilities.</w:t>
      </w:r>
    </w:p>
    <w:p w14:paraId="522F3DF2"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advocate and promote the accessibility movement via our accessibility campaign. The purpose of the campaign is to empower and encourage digital content developers to implement accessibility when designing online resources.</w:t>
      </w:r>
    </w:p>
    <w:p w14:paraId="79684B3F" w14:textId="77777777" w:rsidR="005C0E2C" w:rsidRPr="00D14A4F" w:rsidRDefault="005C0E2C" w:rsidP="00A443F4">
      <w:pPr>
        <w:numPr>
          <w:ilvl w:val="0"/>
          <w:numId w:val="16"/>
        </w:numPr>
        <w:spacing w:after="0" w:line="240" w:lineRule="auto"/>
        <w:contextualSpacing/>
        <w:rPr>
          <w:rFonts w:ascii="Arial" w:eastAsia="Calibri" w:hAnsi="Arial" w:cs="Arial"/>
          <w:color w:val="404040"/>
          <w:kern w:val="0"/>
          <w14:ligatures w14:val="none"/>
        </w:rPr>
      </w:pPr>
      <w:r w:rsidRPr="00D14A4F">
        <w:rPr>
          <w:rFonts w:ascii="Arial" w:eastAsia="Calibri" w:hAnsi="Arial" w:cs="Arial"/>
          <w:color w:val="404040"/>
          <w:kern w:val="0"/>
          <w14:ligatures w14:val="none"/>
        </w:rPr>
        <w:t>We celebrate Accessibility success stories through the biannual Accessibility Awards.</w:t>
      </w:r>
    </w:p>
    <w:p w14:paraId="311BA407"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p>
    <w:p w14:paraId="0C706901" w14:textId="77777777" w:rsidR="005C0E2C" w:rsidRPr="00D14A4F" w:rsidRDefault="005C0E2C" w:rsidP="00A443F4">
      <w:pPr>
        <w:shd w:val="clear" w:color="auto" w:fill="FFFFFF"/>
        <w:spacing w:before="240" w:after="60" w:line="240" w:lineRule="auto"/>
        <w:outlineLvl w:val="0"/>
        <w:rPr>
          <w:rFonts w:ascii="Arial" w:eastAsia="Times New Roman" w:hAnsi="Arial" w:cs="Arial"/>
          <w:b/>
          <w:bCs/>
          <w:color w:val="404040"/>
          <w:kern w:val="0"/>
          <w:sz w:val="28"/>
          <w:lang w:val="en-GB" w:eastAsia="en-GB"/>
          <w14:ligatures w14:val="none"/>
        </w:rPr>
      </w:pPr>
      <w:bookmarkStart w:id="2" w:name="_Toc178337657"/>
      <w:r w:rsidRPr="00D14A4F">
        <w:rPr>
          <w:rFonts w:ascii="Arial" w:eastAsia="Times New Roman" w:hAnsi="Arial" w:cs="Arial"/>
          <w:b/>
          <w:bCs/>
          <w:color w:val="404040"/>
          <w:kern w:val="0"/>
          <w:sz w:val="28"/>
          <w:lang w:val="en-GB" w:eastAsia="en-GB"/>
          <w14:ligatures w14:val="none"/>
        </w:rPr>
        <w:t>Acknowledgements</w:t>
      </w:r>
      <w:bookmarkEnd w:id="2"/>
      <w:r w:rsidRPr="00D14A4F">
        <w:rPr>
          <w:rFonts w:ascii="Arial" w:eastAsia="Times New Roman" w:hAnsi="Arial" w:cs="Arial"/>
          <w:b/>
          <w:bCs/>
          <w:color w:val="404040"/>
          <w:kern w:val="0"/>
          <w:sz w:val="28"/>
          <w:lang w:val="en-GB" w:eastAsia="en-GB"/>
          <w14:ligatures w14:val="none"/>
        </w:rPr>
        <w:t xml:space="preserve"> </w:t>
      </w:r>
    </w:p>
    <w:p w14:paraId="4F78F147"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p>
    <w:p w14:paraId="6DCD072F" w14:textId="77777777" w:rsidR="005C0E2C" w:rsidRPr="00D14A4F" w:rsidRDefault="005C0E2C" w:rsidP="00A443F4">
      <w:pPr>
        <w:spacing w:after="0" w:line="240" w:lineRule="auto"/>
        <w:rPr>
          <w:rFonts w:ascii="Arial" w:eastAsia="Times New Roman" w:hAnsi="Arial" w:cs="Arial"/>
          <w:color w:val="404040"/>
          <w:kern w:val="0"/>
          <w14:ligatures w14:val="none"/>
        </w:rPr>
      </w:pPr>
      <w:r w:rsidRPr="00D14A4F">
        <w:rPr>
          <w:rFonts w:ascii="Arial" w:eastAsia="Times New Roman" w:hAnsi="Arial" w:cs="Arial"/>
          <w:color w:val="404040"/>
          <w:kern w:val="0"/>
          <w:lang w:eastAsia="en-GB"/>
          <w14:ligatures w14:val="none"/>
        </w:rPr>
        <w:t xml:space="preserve">This project and its outputs were funded by a grant from the </w:t>
      </w:r>
      <w:hyperlink r:id="rId11" w:history="1">
        <w:r w:rsidRPr="62E2F9EC">
          <w:rPr>
            <w:rStyle w:val="Hyperlink"/>
            <w:rFonts w:ascii="Arial" w:eastAsia="Times New Roman" w:hAnsi="Arial" w:cs="Arial"/>
            <w:lang w:eastAsia="en-GB"/>
          </w:rPr>
          <w:t>Australian Communications Consumer Action Network</w:t>
        </w:r>
      </w:hyperlink>
      <w:r w:rsidRPr="00D14A4F">
        <w:rPr>
          <w:rFonts w:ascii="Arial" w:eastAsia="Times New Roman" w:hAnsi="Arial" w:cs="Arial"/>
          <w:color w:val="404040"/>
          <w:kern w:val="0"/>
          <w:lang w:eastAsia="en-GB"/>
          <w14:ligatures w14:val="none"/>
        </w:rPr>
        <w:t xml:space="preserve"> (ACCAN).</w:t>
      </w:r>
    </w:p>
    <w:p w14:paraId="6D998078"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r w:rsidRPr="00D14A4F">
        <w:rPr>
          <w:rFonts w:ascii="Arial" w:eastAsia="Times New Roman" w:hAnsi="Arial" w:cs="Arial"/>
          <w:color w:val="404040"/>
          <w:kern w:val="0"/>
          <w:lang w:eastAsia="en-GB"/>
          <w14:ligatures w14:val="none"/>
        </w:rPr>
        <w:t xml:space="preserve"> </w:t>
      </w:r>
    </w:p>
    <w:p w14:paraId="34E2791A" w14:textId="77777777" w:rsidR="005C0E2C" w:rsidRPr="00D14A4F" w:rsidRDefault="005C0E2C" w:rsidP="00A443F4">
      <w:pPr>
        <w:spacing w:after="0" w:line="240" w:lineRule="auto"/>
        <w:rPr>
          <w:rFonts w:ascii="Arial" w:eastAsia="Times New Roman" w:hAnsi="Arial" w:cs="Arial"/>
          <w:color w:val="404040"/>
          <w:kern w:val="0"/>
          <w:lang w:eastAsia="en-GB"/>
          <w14:ligatures w14:val="none"/>
        </w:rPr>
      </w:pPr>
      <w:r w:rsidRPr="00D14A4F">
        <w:rPr>
          <w:rFonts w:ascii="Arial" w:eastAsia="Times New Roman" w:hAnsi="Arial" w:cs="Arial"/>
          <w:color w:val="404040"/>
          <w:kern w:val="0"/>
          <w:lang w:eastAsia="en-GB"/>
          <w14:ligatures w14:val="none"/>
        </w:rPr>
        <w:t xml:space="preserve">The operation of the Australian Communications Consumer Action Network is made possible by funding provided by the Commonwealth of Australia under section 593 of the </w:t>
      </w:r>
      <w:r w:rsidRPr="00D14A4F">
        <w:rPr>
          <w:rFonts w:ascii="Arial" w:eastAsia="Times New Roman" w:hAnsi="Arial" w:cs="Arial"/>
          <w:i/>
          <w:iCs/>
          <w:color w:val="404040"/>
          <w:kern w:val="0"/>
          <w:lang w:eastAsia="en-GB"/>
          <w14:ligatures w14:val="none"/>
        </w:rPr>
        <w:t>Telecommunications Act 1997</w:t>
      </w:r>
      <w:r w:rsidRPr="00D14A4F">
        <w:rPr>
          <w:rFonts w:ascii="Arial" w:eastAsia="Times New Roman" w:hAnsi="Arial" w:cs="Arial"/>
          <w:color w:val="404040"/>
          <w:kern w:val="0"/>
          <w:lang w:eastAsia="en-GB"/>
          <w14:ligatures w14:val="none"/>
        </w:rPr>
        <w:t>. This funding is recovered from charges on telecommunications carriers.</w:t>
      </w:r>
    </w:p>
    <w:p w14:paraId="6F4C9782" w14:textId="77777777" w:rsidR="005C0E2C" w:rsidRPr="00D14A4F" w:rsidRDefault="005C0E2C" w:rsidP="00A443F4">
      <w:pPr>
        <w:spacing w:line="240" w:lineRule="auto"/>
        <w:rPr>
          <w:rFonts w:ascii="Arial" w:eastAsia="Times New Roman" w:hAnsi="Arial" w:cs="Arial"/>
          <w:color w:val="404040"/>
          <w:kern w:val="0"/>
          <w:lang w:eastAsia="en-GB"/>
          <w14:ligatures w14:val="none"/>
        </w:rPr>
      </w:pPr>
      <w:r w:rsidRPr="00D14A4F">
        <w:rPr>
          <w:rFonts w:ascii="Arial" w:eastAsia="Times New Roman" w:hAnsi="Arial" w:cs="Arial"/>
          <w:color w:val="404040"/>
          <w:kern w:val="0"/>
          <w:lang w:eastAsia="en-GB"/>
          <w14:ligatures w14:val="none"/>
        </w:rPr>
        <w:br w:type="page"/>
      </w:r>
    </w:p>
    <w:p w14:paraId="685D57DA" w14:textId="77777777" w:rsidR="005C0E2C" w:rsidRPr="00D14A4F" w:rsidRDefault="005C0E2C" w:rsidP="00A443F4">
      <w:pPr>
        <w:spacing w:after="0" w:line="240" w:lineRule="auto"/>
        <w:outlineLvl w:val="0"/>
        <w:rPr>
          <w:rFonts w:ascii="Arial" w:eastAsia="Times New Roman" w:hAnsi="Arial" w:cs="Arial"/>
          <w:b/>
          <w:bCs/>
          <w:color w:val="404040"/>
          <w:kern w:val="0"/>
          <w:sz w:val="28"/>
          <w:szCs w:val="28"/>
          <w:lang w:eastAsia="en-GB"/>
          <w14:ligatures w14:val="none"/>
        </w:rPr>
      </w:pPr>
      <w:bookmarkStart w:id="3" w:name="_Toc178337658"/>
      <w:r w:rsidRPr="00D14A4F">
        <w:rPr>
          <w:rFonts w:ascii="Arial" w:eastAsia="Times New Roman" w:hAnsi="Arial" w:cs="Arial"/>
          <w:b/>
          <w:bCs/>
          <w:color w:val="404040"/>
          <w:kern w:val="0"/>
          <w:sz w:val="28"/>
          <w:szCs w:val="28"/>
          <w:lang w:eastAsia="en-GB"/>
          <w14:ligatures w14:val="none"/>
        </w:rPr>
        <w:lastRenderedPageBreak/>
        <w:t>Contents Page</w:t>
      </w:r>
      <w:bookmarkEnd w:id="3"/>
    </w:p>
    <w:sdt>
      <w:sdtPr>
        <w:rPr>
          <w:rFonts w:asciiTheme="minorHAnsi" w:eastAsiaTheme="minorEastAsia" w:hAnsiTheme="minorHAnsi" w:cstheme="minorBidi"/>
          <w:b w:val="0"/>
          <w:color w:val="auto"/>
          <w:kern w:val="2"/>
          <w:sz w:val="22"/>
          <w:szCs w:val="22"/>
          <w:lang w:val="en-AU" w:eastAsia="en-US"/>
          <w14:ligatures w14:val="standardContextual"/>
        </w:rPr>
        <w:id w:val="-1702466637"/>
        <w:docPartObj>
          <w:docPartGallery w:val="Table of Contents"/>
          <w:docPartUnique/>
        </w:docPartObj>
      </w:sdtPr>
      <w:sdtEndPr>
        <w:rPr>
          <w:noProof/>
          <w:sz w:val="24"/>
          <w:szCs w:val="24"/>
        </w:rPr>
      </w:sdtEndPr>
      <w:sdtContent>
        <w:p w14:paraId="60002953" w14:textId="77777777" w:rsidR="005C0E2C" w:rsidRPr="00D14A4F" w:rsidRDefault="005C0E2C" w:rsidP="00A443F4">
          <w:pPr>
            <w:pStyle w:val="TOCHeading"/>
          </w:pPr>
          <w:r w:rsidRPr="00D14A4F">
            <w:t>Table of Contents</w:t>
          </w:r>
        </w:p>
        <w:p w14:paraId="3332E71F" w14:textId="5640E361" w:rsidR="007C25F8" w:rsidRDefault="005C0E2C" w:rsidP="00A443F4">
          <w:pPr>
            <w:pStyle w:val="TOC1"/>
            <w:tabs>
              <w:tab w:val="right" w:leader="dot" w:pos="9016"/>
            </w:tabs>
            <w:spacing w:line="240" w:lineRule="auto"/>
            <w:rPr>
              <w:rFonts w:eastAsiaTheme="minorEastAsia"/>
              <w:noProof/>
              <w:sz w:val="24"/>
              <w:szCs w:val="24"/>
              <w:lang w:eastAsia="en-AU"/>
            </w:rPr>
          </w:pPr>
          <w:r w:rsidRPr="00D14A4F">
            <w:rPr>
              <w:rFonts w:ascii="Arial" w:hAnsi="Arial" w:cs="Arial"/>
              <w:sz w:val="24"/>
              <w:szCs w:val="24"/>
            </w:rPr>
            <w:fldChar w:fldCharType="begin"/>
          </w:r>
          <w:r w:rsidRPr="00D14A4F">
            <w:rPr>
              <w:rFonts w:ascii="Arial" w:hAnsi="Arial" w:cs="Arial"/>
              <w:sz w:val="24"/>
              <w:szCs w:val="24"/>
            </w:rPr>
            <w:instrText xml:space="preserve"> TOC \o "1-3" \h \z \u </w:instrText>
          </w:r>
          <w:r w:rsidRPr="00D14A4F">
            <w:rPr>
              <w:rFonts w:ascii="Arial" w:hAnsi="Arial" w:cs="Arial"/>
              <w:sz w:val="24"/>
              <w:szCs w:val="24"/>
            </w:rPr>
            <w:fldChar w:fldCharType="separate"/>
          </w:r>
          <w:hyperlink w:anchor="_Toc178337655" w:history="1">
            <w:r w:rsidR="007C25F8" w:rsidRPr="008A1DBF">
              <w:rPr>
                <w:rStyle w:val="Hyperlink"/>
                <w:rFonts w:ascii="Arial" w:eastAsia="Times New Roman" w:hAnsi="Arial" w:cs="Arial"/>
                <w:b/>
                <w:bCs/>
                <w:noProof/>
                <w:kern w:val="0"/>
                <w:lang w:val="en-GB" w:eastAsia="en-GB"/>
                <w14:ligatures w14:val="none"/>
              </w:rPr>
              <w:t>Centre for Accessibility Australia</w:t>
            </w:r>
            <w:r w:rsidR="007C25F8">
              <w:rPr>
                <w:noProof/>
                <w:webHidden/>
              </w:rPr>
              <w:tab/>
            </w:r>
            <w:r w:rsidR="007C25F8">
              <w:rPr>
                <w:noProof/>
                <w:webHidden/>
              </w:rPr>
              <w:fldChar w:fldCharType="begin"/>
            </w:r>
            <w:r w:rsidR="007C25F8">
              <w:rPr>
                <w:noProof/>
                <w:webHidden/>
              </w:rPr>
              <w:instrText xml:space="preserve"> PAGEREF _Toc178337655 \h </w:instrText>
            </w:r>
            <w:r w:rsidR="007C25F8">
              <w:rPr>
                <w:noProof/>
                <w:webHidden/>
              </w:rPr>
            </w:r>
            <w:r w:rsidR="007C25F8">
              <w:rPr>
                <w:noProof/>
                <w:webHidden/>
              </w:rPr>
              <w:fldChar w:fldCharType="separate"/>
            </w:r>
            <w:r w:rsidR="007C25F8">
              <w:rPr>
                <w:noProof/>
                <w:webHidden/>
              </w:rPr>
              <w:t>1</w:t>
            </w:r>
            <w:r w:rsidR="007C25F8">
              <w:rPr>
                <w:noProof/>
                <w:webHidden/>
              </w:rPr>
              <w:fldChar w:fldCharType="end"/>
            </w:r>
          </w:hyperlink>
        </w:p>
        <w:p w14:paraId="42D962E8" w14:textId="48CE0BAB" w:rsidR="007C25F8" w:rsidRDefault="00000000" w:rsidP="00A443F4">
          <w:pPr>
            <w:pStyle w:val="TOC1"/>
            <w:tabs>
              <w:tab w:val="right" w:leader="dot" w:pos="9016"/>
            </w:tabs>
            <w:spacing w:line="240" w:lineRule="auto"/>
            <w:rPr>
              <w:rFonts w:eastAsiaTheme="minorEastAsia"/>
              <w:noProof/>
              <w:sz w:val="24"/>
              <w:szCs w:val="24"/>
              <w:lang w:eastAsia="en-AU"/>
            </w:rPr>
          </w:pPr>
          <w:hyperlink w:anchor="_Toc178337656" w:history="1">
            <w:r w:rsidR="007C25F8" w:rsidRPr="008A1DBF">
              <w:rPr>
                <w:rStyle w:val="Hyperlink"/>
                <w:rFonts w:ascii="Arial" w:eastAsia="Times New Roman" w:hAnsi="Arial" w:cs="Arial"/>
                <w:b/>
                <w:bCs/>
                <w:noProof/>
                <w:kern w:val="0"/>
                <w:lang w:val="en-GB" w:eastAsia="en-GB"/>
                <w14:ligatures w14:val="none"/>
              </w:rPr>
              <w:t>About Centre for Accessibility Australia</w:t>
            </w:r>
            <w:r w:rsidR="007C25F8">
              <w:rPr>
                <w:noProof/>
                <w:webHidden/>
              </w:rPr>
              <w:tab/>
            </w:r>
            <w:r w:rsidR="007C25F8">
              <w:rPr>
                <w:noProof/>
                <w:webHidden/>
              </w:rPr>
              <w:fldChar w:fldCharType="begin"/>
            </w:r>
            <w:r w:rsidR="007C25F8">
              <w:rPr>
                <w:noProof/>
                <w:webHidden/>
              </w:rPr>
              <w:instrText xml:space="preserve"> PAGEREF _Toc178337656 \h </w:instrText>
            </w:r>
            <w:r w:rsidR="007C25F8">
              <w:rPr>
                <w:noProof/>
                <w:webHidden/>
              </w:rPr>
            </w:r>
            <w:r w:rsidR="007C25F8">
              <w:rPr>
                <w:noProof/>
                <w:webHidden/>
              </w:rPr>
              <w:fldChar w:fldCharType="separate"/>
            </w:r>
            <w:r w:rsidR="007C25F8">
              <w:rPr>
                <w:noProof/>
                <w:webHidden/>
              </w:rPr>
              <w:t>2</w:t>
            </w:r>
            <w:r w:rsidR="007C25F8">
              <w:rPr>
                <w:noProof/>
                <w:webHidden/>
              </w:rPr>
              <w:fldChar w:fldCharType="end"/>
            </w:r>
          </w:hyperlink>
        </w:p>
        <w:p w14:paraId="28B44589" w14:textId="3214345C" w:rsidR="007C25F8" w:rsidRDefault="00000000" w:rsidP="00A443F4">
          <w:pPr>
            <w:pStyle w:val="TOC1"/>
            <w:tabs>
              <w:tab w:val="right" w:leader="dot" w:pos="9016"/>
            </w:tabs>
            <w:spacing w:line="240" w:lineRule="auto"/>
            <w:rPr>
              <w:rFonts w:eastAsiaTheme="minorEastAsia"/>
              <w:noProof/>
              <w:sz w:val="24"/>
              <w:szCs w:val="24"/>
              <w:lang w:eastAsia="en-AU"/>
            </w:rPr>
          </w:pPr>
          <w:hyperlink w:anchor="_Toc178337657" w:history="1">
            <w:r w:rsidR="007C25F8" w:rsidRPr="008A1DBF">
              <w:rPr>
                <w:rStyle w:val="Hyperlink"/>
                <w:rFonts w:ascii="Arial" w:eastAsia="Times New Roman" w:hAnsi="Arial" w:cs="Arial"/>
                <w:b/>
                <w:bCs/>
                <w:noProof/>
                <w:kern w:val="0"/>
                <w:lang w:val="en-GB" w:eastAsia="en-GB"/>
                <w14:ligatures w14:val="none"/>
              </w:rPr>
              <w:t>Acknowledgements</w:t>
            </w:r>
            <w:r w:rsidR="007C25F8">
              <w:rPr>
                <w:noProof/>
                <w:webHidden/>
              </w:rPr>
              <w:tab/>
            </w:r>
            <w:r w:rsidR="007C25F8">
              <w:rPr>
                <w:noProof/>
                <w:webHidden/>
              </w:rPr>
              <w:fldChar w:fldCharType="begin"/>
            </w:r>
            <w:r w:rsidR="007C25F8">
              <w:rPr>
                <w:noProof/>
                <w:webHidden/>
              </w:rPr>
              <w:instrText xml:space="preserve"> PAGEREF _Toc178337657 \h </w:instrText>
            </w:r>
            <w:r w:rsidR="007C25F8">
              <w:rPr>
                <w:noProof/>
                <w:webHidden/>
              </w:rPr>
            </w:r>
            <w:r w:rsidR="007C25F8">
              <w:rPr>
                <w:noProof/>
                <w:webHidden/>
              </w:rPr>
              <w:fldChar w:fldCharType="separate"/>
            </w:r>
            <w:r w:rsidR="007C25F8">
              <w:rPr>
                <w:noProof/>
                <w:webHidden/>
              </w:rPr>
              <w:t>2</w:t>
            </w:r>
            <w:r w:rsidR="007C25F8">
              <w:rPr>
                <w:noProof/>
                <w:webHidden/>
              </w:rPr>
              <w:fldChar w:fldCharType="end"/>
            </w:r>
          </w:hyperlink>
        </w:p>
        <w:p w14:paraId="26DC57C9" w14:textId="3E81FC26" w:rsidR="007C25F8" w:rsidRDefault="00000000" w:rsidP="00A443F4">
          <w:pPr>
            <w:pStyle w:val="TOC1"/>
            <w:tabs>
              <w:tab w:val="right" w:leader="dot" w:pos="9016"/>
            </w:tabs>
            <w:spacing w:line="240" w:lineRule="auto"/>
            <w:rPr>
              <w:rFonts w:eastAsiaTheme="minorEastAsia"/>
              <w:noProof/>
              <w:sz w:val="24"/>
              <w:szCs w:val="24"/>
              <w:lang w:eastAsia="en-AU"/>
            </w:rPr>
          </w:pPr>
          <w:hyperlink w:anchor="_Toc178337658" w:history="1">
            <w:r w:rsidR="007C25F8" w:rsidRPr="008A1DBF">
              <w:rPr>
                <w:rStyle w:val="Hyperlink"/>
                <w:rFonts w:ascii="Arial" w:eastAsia="Times New Roman" w:hAnsi="Arial" w:cs="Arial"/>
                <w:b/>
                <w:bCs/>
                <w:noProof/>
                <w:kern w:val="0"/>
                <w:lang w:eastAsia="en-GB"/>
                <w14:ligatures w14:val="none"/>
              </w:rPr>
              <w:t>Contents Page</w:t>
            </w:r>
            <w:r w:rsidR="007C25F8">
              <w:rPr>
                <w:noProof/>
                <w:webHidden/>
              </w:rPr>
              <w:tab/>
            </w:r>
            <w:r w:rsidR="007C25F8">
              <w:rPr>
                <w:noProof/>
                <w:webHidden/>
              </w:rPr>
              <w:fldChar w:fldCharType="begin"/>
            </w:r>
            <w:r w:rsidR="007C25F8">
              <w:rPr>
                <w:noProof/>
                <w:webHidden/>
              </w:rPr>
              <w:instrText xml:space="preserve"> PAGEREF _Toc178337658 \h </w:instrText>
            </w:r>
            <w:r w:rsidR="007C25F8">
              <w:rPr>
                <w:noProof/>
                <w:webHidden/>
              </w:rPr>
            </w:r>
            <w:r w:rsidR="007C25F8">
              <w:rPr>
                <w:noProof/>
                <w:webHidden/>
              </w:rPr>
              <w:fldChar w:fldCharType="separate"/>
            </w:r>
            <w:r w:rsidR="007C25F8">
              <w:rPr>
                <w:noProof/>
                <w:webHidden/>
              </w:rPr>
              <w:t>3</w:t>
            </w:r>
            <w:r w:rsidR="007C25F8">
              <w:rPr>
                <w:noProof/>
                <w:webHidden/>
              </w:rPr>
              <w:fldChar w:fldCharType="end"/>
            </w:r>
          </w:hyperlink>
        </w:p>
        <w:p w14:paraId="6E208AA4" w14:textId="114F70BE" w:rsidR="007C25F8" w:rsidRDefault="00000000" w:rsidP="00A443F4">
          <w:pPr>
            <w:pStyle w:val="TOC1"/>
            <w:tabs>
              <w:tab w:val="right" w:leader="dot" w:pos="9016"/>
            </w:tabs>
            <w:spacing w:line="240" w:lineRule="auto"/>
            <w:rPr>
              <w:rFonts w:eastAsiaTheme="minorEastAsia"/>
              <w:noProof/>
              <w:sz w:val="24"/>
              <w:szCs w:val="24"/>
              <w:lang w:eastAsia="en-AU"/>
            </w:rPr>
          </w:pPr>
          <w:hyperlink w:anchor="_Toc178337659" w:history="1">
            <w:r w:rsidR="007C25F8" w:rsidRPr="008A1DBF">
              <w:rPr>
                <w:rStyle w:val="Hyperlink"/>
                <w:rFonts w:ascii="Arial" w:eastAsia="Times New Roman" w:hAnsi="Arial" w:cs="Arial"/>
                <w:b/>
                <w:bCs/>
                <w:noProof/>
                <w:kern w:val="0"/>
                <w:lang w:eastAsia="en-GB"/>
                <w14:ligatures w14:val="none"/>
              </w:rPr>
              <w:t>Executive Summary</w:t>
            </w:r>
            <w:r w:rsidR="007C25F8">
              <w:rPr>
                <w:noProof/>
                <w:webHidden/>
              </w:rPr>
              <w:tab/>
            </w:r>
            <w:r w:rsidR="007C25F8">
              <w:rPr>
                <w:noProof/>
                <w:webHidden/>
              </w:rPr>
              <w:fldChar w:fldCharType="begin"/>
            </w:r>
            <w:r w:rsidR="007C25F8">
              <w:rPr>
                <w:noProof/>
                <w:webHidden/>
              </w:rPr>
              <w:instrText xml:space="preserve"> PAGEREF _Toc178337659 \h </w:instrText>
            </w:r>
            <w:r w:rsidR="007C25F8">
              <w:rPr>
                <w:noProof/>
                <w:webHidden/>
              </w:rPr>
            </w:r>
            <w:r w:rsidR="007C25F8">
              <w:rPr>
                <w:noProof/>
                <w:webHidden/>
              </w:rPr>
              <w:fldChar w:fldCharType="separate"/>
            </w:r>
            <w:r w:rsidR="007C25F8">
              <w:rPr>
                <w:noProof/>
                <w:webHidden/>
              </w:rPr>
              <w:t>4</w:t>
            </w:r>
            <w:r w:rsidR="007C25F8">
              <w:rPr>
                <w:noProof/>
                <w:webHidden/>
              </w:rPr>
              <w:fldChar w:fldCharType="end"/>
            </w:r>
          </w:hyperlink>
        </w:p>
        <w:p w14:paraId="7173A080" w14:textId="33719BE5" w:rsidR="007C25F8" w:rsidRDefault="00000000" w:rsidP="00A443F4">
          <w:pPr>
            <w:pStyle w:val="TOC1"/>
            <w:tabs>
              <w:tab w:val="left" w:pos="440"/>
              <w:tab w:val="right" w:leader="dot" w:pos="9016"/>
            </w:tabs>
            <w:spacing w:line="240" w:lineRule="auto"/>
            <w:rPr>
              <w:rFonts w:eastAsiaTheme="minorEastAsia"/>
              <w:noProof/>
              <w:sz w:val="24"/>
              <w:szCs w:val="24"/>
              <w:lang w:eastAsia="en-AU"/>
            </w:rPr>
          </w:pPr>
          <w:hyperlink w:anchor="_Toc178337660" w:history="1">
            <w:r w:rsidR="007C25F8" w:rsidRPr="008A1DBF">
              <w:rPr>
                <w:rStyle w:val="Hyperlink"/>
                <w:rFonts w:ascii="Arial" w:hAnsi="Arial" w:cs="Arial"/>
                <w:noProof/>
              </w:rPr>
              <w:t>1.</w:t>
            </w:r>
            <w:r w:rsidR="007C25F8">
              <w:rPr>
                <w:rFonts w:eastAsiaTheme="minorEastAsia"/>
                <w:noProof/>
                <w:sz w:val="24"/>
                <w:szCs w:val="24"/>
                <w:lang w:eastAsia="en-AU"/>
              </w:rPr>
              <w:tab/>
            </w:r>
            <w:r w:rsidR="007C25F8" w:rsidRPr="008A1DBF">
              <w:rPr>
                <w:rStyle w:val="Hyperlink"/>
                <w:rFonts w:ascii="Arial" w:hAnsi="Arial" w:cs="Arial"/>
                <w:noProof/>
              </w:rPr>
              <w:t>Introduction</w:t>
            </w:r>
            <w:r w:rsidR="007C25F8">
              <w:rPr>
                <w:noProof/>
                <w:webHidden/>
              </w:rPr>
              <w:tab/>
            </w:r>
            <w:r w:rsidR="007C25F8">
              <w:rPr>
                <w:noProof/>
                <w:webHidden/>
              </w:rPr>
              <w:fldChar w:fldCharType="begin"/>
            </w:r>
            <w:r w:rsidR="007C25F8">
              <w:rPr>
                <w:noProof/>
                <w:webHidden/>
              </w:rPr>
              <w:instrText xml:space="preserve"> PAGEREF _Toc178337660 \h </w:instrText>
            </w:r>
            <w:r w:rsidR="007C25F8">
              <w:rPr>
                <w:noProof/>
                <w:webHidden/>
              </w:rPr>
            </w:r>
            <w:r w:rsidR="007C25F8">
              <w:rPr>
                <w:noProof/>
                <w:webHidden/>
              </w:rPr>
              <w:fldChar w:fldCharType="separate"/>
            </w:r>
            <w:r w:rsidR="007C25F8">
              <w:rPr>
                <w:noProof/>
                <w:webHidden/>
              </w:rPr>
              <w:t>5</w:t>
            </w:r>
            <w:r w:rsidR="007C25F8">
              <w:rPr>
                <w:noProof/>
                <w:webHidden/>
              </w:rPr>
              <w:fldChar w:fldCharType="end"/>
            </w:r>
          </w:hyperlink>
        </w:p>
        <w:p w14:paraId="7BE13021" w14:textId="1BDB88AF" w:rsidR="007C25F8" w:rsidRDefault="00000000" w:rsidP="00A443F4">
          <w:pPr>
            <w:pStyle w:val="TOC2"/>
            <w:tabs>
              <w:tab w:val="right" w:leader="dot" w:pos="9016"/>
            </w:tabs>
            <w:spacing w:line="240" w:lineRule="auto"/>
            <w:rPr>
              <w:rFonts w:eastAsiaTheme="minorEastAsia"/>
              <w:noProof/>
              <w:sz w:val="24"/>
              <w:szCs w:val="24"/>
              <w:lang w:eastAsia="en-AU"/>
            </w:rPr>
          </w:pPr>
          <w:hyperlink w:anchor="_Toc178337661" w:history="1">
            <w:r w:rsidR="007C25F8" w:rsidRPr="008A1DBF">
              <w:rPr>
                <w:rStyle w:val="Hyperlink"/>
                <w:rFonts w:ascii="Arial" w:hAnsi="Arial" w:cs="Arial"/>
                <w:noProof/>
              </w:rPr>
              <w:t>1.1 Project overview</w:t>
            </w:r>
            <w:r w:rsidR="007C25F8">
              <w:rPr>
                <w:noProof/>
                <w:webHidden/>
              </w:rPr>
              <w:tab/>
            </w:r>
            <w:r w:rsidR="007C25F8">
              <w:rPr>
                <w:noProof/>
                <w:webHidden/>
              </w:rPr>
              <w:fldChar w:fldCharType="begin"/>
            </w:r>
            <w:r w:rsidR="007C25F8">
              <w:rPr>
                <w:noProof/>
                <w:webHidden/>
              </w:rPr>
              <w:instrText xml:space="preserve"> PAGEREF _Toc178337661 \h </w:instrText>
            </w:r>
            <w:r w:rsidR="007C25F8">
              <w:rPr>
                <w:noProof/>
                <w:webHidden/>
              </w:rPr>
            </w:r>
            <w:r w:rsidR="007C25F8">
              <w:rPr>
                <w:noProof/>
                <w:webHidden/>
              </w:rPr>
              <w:fldChar w:fldCharType="separate"/>
            </w:r>
            <w:r w:rsidR="007C25F8">
              <w:rPr>
                <w:noProof/>
                <w:webHidden/>
              </w:rPr>
              <w:t>5</w:t>
            </w:r>
            <w:r w:rsidR="007C25F8">
              <w:rPr>
                <w:noProof/>
                <w:webHidden/>
              </w:rPr>
              <w:fldChar w:fldCharType="end"/>
            </w:r>
          </w:hyperlink>
        </w:p>
        <w:p w14:paraId="090055E8" w14:textId="255FB1B3" w:rsidR="007C25F8" w:rsidRDefault="00000000" w:rsidP="00A443F4">
          <w:pPr>
            <w:pStyle w:val="TOC2"/>
            <w:tabs>
              <w:tab w:val="right" w:leader="dot" w:pos="9016"/>
            </w:tabs>
            <w:spacing w:line="240" w:lineRule="auto"/>
            <w:rPr>
              <w:rFonts w:eastAsiaTheme="minorEastAsia"/>
              <w:noProof/>
              <w:sz w:val="24"/>
              <w:szCs w:val="24"/>
              <w:lang w:eastAsia="en-AU"/>
            </w:rPr>
          </w:pPr>
          <w:hyperlink w:anchor="_Toc178337662" w:history="1">
            <w:r w:rsidR="007C25F8" w:rsidRPr="008A1DBF">
              <w:rPr>
                <w:rStyle w:val="Hyperlink"/>
                <w:rFonts w:ascii="Arial" w:hAnsi="Arial" w:cs="Arial"/>
                <w:noProof/>
              </w:rPr>
              <w:t>1.2 Why this project is important</w:t>
            </w:r>
            <w:r w:rsidR="007C25F8">
              <w:rPr>
                <w:noProof/>
                <w:webHidden/>
              </w:rPr>
              <w:tab/>
            </w:r>
            <w:r w:rsidR="007C25F8">
              <w:rPr>
                <w:noProof/>
                <w:webHidden/>
              </w:rPr>
              <w:fldChar w:fldCharType="begin"/>
            </w:r>
            <w:r w:rsidR="007C25F8">
              <w:rPr>
                <w:noProof/>
                <w:webHidden/>
              </w:rPr>
              <w:instrText xml:space="preserve"> PAGEREF _Toc178337662 \h </w:instrText>
            </w:r>
            <w:r w:rsidR="007C25F8">
              <w:rPr>
                <w:noProof/>
                <w:webHidden/>
              </w:rPr>
            </w:r>
            <w:r w:rsidR="007C25F8">
              <w:rPr>
                <w:noProof/>
                <w:webHidden/>
              </w:rPr>
              <w:fldChar w:fldCharType="separate"/>
            </w:r>
            <w:r w:rsidR="007C25F8">
              <w:rPr>
                <w:noProof/>
                <w:webHidden/>
              </w:rPr>
              <w:t>6</w:t>
            </w:r>
            <w:r w:rsidR="007C25F8">
              <w:rPr>
                <w:noProof/>
                <w:webHidden/>
              </w:rPr>
              <w:fldChar w:fldCharType="end"/>
            </w:r>
          </w:hyperlink>
        </w:p>
        <w:p w14:paraId="6CEC58C1" w14:textId="38C4CC2A" w:rsidR="007C25F8" w:rsidRDefault="00000000" w:rsidP="00A443F4">
          <w:pPr>
            <w:pStyle w:val="TOC1"/>
            <w:tabs>
              <w:tab w:val="left" w:pos="440"/>
              <w:tab w:val="right" w:leader="dot" w:pos="9016"/>
            </w:tabs>
            <w:spacing w:line="240" w:lineRule="auto"/>
            <w:rPr>
              <w:rFonts w:eastAsiaTheme="minorEastAsia"/>
              <w:noProof/>
              <w:sz w:val="24"/>
              <w:szCs w:val="24"/>
              <w:lang w:eastAsia="en-AU"/>
            </w:rPr>
          </w:pPr>
          <w:hyperlink w:anchor="_Toc178337663" w:history="1">
            <w:r w:rsidR="007C25F8" w:rsidRPr="008A1DBF">
              <w:rPr>
                <w:rStyle w:val="Hyperlink"/>
                <w:rFonts w:ascii="Arial" w:hAnsi="Arial" w:cs="Arial"/>
                <w:noProof/>
              </w:rPr>
              <w:t>2.</w:t>
            </w:r>
            <w:r w:rsidR="007C25F8">
              <w:rPr>
                <w:rFonts w:eastAsiaTheme="minorEastAsia"/>
                <w:noProof/>
                <w:sz w:val="24"/>
                <w:szCs w:val="24"/>
                <w:lang w:eastAsia="en-AU"/>
              </w:rPr>
              <w:tab/>
            </w:r>
            <w:r w:rsidR="007C25F8" w:rsidRPr="008A1DBF">
              <w:rPr>
                <w:rStyle w:val="Hyperlink"/>
                <w:rFonts w:ascii="Arial" w:hAnsi="Arial" w:cs="Arial"/>
                <w:noProof/>
              </w:rPr>
              <w:t>Consumer Issues Identified</w:t>
            </w:r>
            <w:r w:rsidR="007C25F8">
              <w:rPr>
                <w:noProof/>
                <w:webHidden/>
              </w:rPr>
              <w:tab/>
            </w:r>
            <w:r w:rsidR="007C25F8">
              <w:rPr>
                <w:noProof/>
                <w:webHidden/>
              </w:rPr>
              <w:fldChar w:fldCharType="begin"/>
            </w:r>
            <w:r w:rsidR="007C25F8">
              <w:rPr>
                <w:noProof/>
                <w:webHidden/>
              </w:rPr>
              <w:instrText xml:space="preserve"> PAGEREF _Toc178337663 \h </w:instrText>
            </w:r>
            <w:r w:rsidR="007C25F8">
              <w:rPr>
                <w:noProof/>
                <w:webHidden/>
              </w:rPr>
            </w:r>
            <w:r w:rsidR="007C25F8">
              <w:rPr>
                <w:noProof/>
                <w:webHidden/>
              </w:rPr>
              <w:fldChar w:fldCharType="separate"/>
            </w:r>
            <w:r w:rsidR="007C25F8">
              <w:rPr>
                <w:noProof/>
                <w:webHidden/>
              </w:rPr>
              <w:t>7</w:t>
            </w:r>
            <w:r w:rsidR="007C25F8">
              <w:rPr>
                <w:noProof/>
                <w:webHidden/>
              </w:rPr>
              <w:fldChar w:fldCharType="end"/>
            </w:r>
          </w:hyperlink>
        </w:p>
        <w:p w14:paraId="4215DC26" w14:textId="42B1F388" w:rsidR="007C25F8" w:rsidRDefault="00000000" w:rsidP="00A443F4">
          <w:pPr>
            <w:pStyle w:val="TOC2"/>
            <w:tabs>
              <w:tab w:val="left" w:pos="960"/>
              <w:tab w:val="right" w:leader="dot" w:pos="9016"/>
            </w:tabs>
            <w:spacing w:line="240" w:lineRule="auto"/>
            <w:rPr>
              <w:rFonts w:eastAsiaTheme="minorEastAsia"/>
              <w:noProof/>
              <w:sz w:val="24"/>
              <w:szCs w:val="24"/>
              <w:lang w:eastAsia="en-AU"/>
            </w:rPr>
          </w:pPr>
          <w:hyperlink w:anchor="_Toc178337664" w:history="1">
            <w:r w:rsidR="007C25F8" w:rsidRPr="008A1DBF">
              <w:rPr>
                <w:rStyle w:val="Hyperlink"/>
                <w:rFonts w:ascii="Arial" w:hAnsi="Arial" w:cs="Arial"/>
                <w:noProof/>
              </w:rPr>
              <w:t>2.1</w:t>
            </w:r>
            <w:r w:rsidR="007C25F8">
              <w:rPr>
                <w:rFonts w:eastAsiaTheme="minorEastAsia"/>
                <w:noProof/>
                <w:sz w:val="24"/>
                <w:szCs w:val="24"/>
                <w:lang w:eastAsia="en-AU"/>
              </w:rPr>
              <w:tab/>
            </w:r>
            <w:r w:rsidR="007C25F8" w:rsidRPr="008A1DBF">
              <w:rPr>
                <w:rStyle w:val="Hyperlink"/>
                <w:rFonts w:ascii="Arial" w:hAnsi="Arial" w:cs="Arial"/>
                <w:noProof/>
              </w:rPr>
              <w:t>Identification requirements</w:t>
            </w:r>
            <w:r w:rsidR="007C25F8">
              <w:rPr>
                <w:noProof/>
                <w:webHidden/>
              </w:rPr>
              <w:tab/>
            </w:r>
            <w:r w:rsidR="007C25F8">
              <w:rPr>
                <w:noProof/>
                <w:webHidden/>
              </w:rPr>
              <w:fldChar w:fldCharType="begin"/>
            </w:r>
            <w:r w:rsidR="007C25F8">
              <w:rPr>
                <w:noProof/>
                <w:webHidden/>
              </w:rPr>
              <w:instrText xml:space="preserve"> PAGEREF _Toc178337664 \h </w:instrText>
            </w:r>
            <w:r w:rsidR="007C25F8">
              <w:rPr>
                <w:noProof/>
                <w:webHidden/>
              </w:rPr>
            </w:r>
            <w:r w:rsidR="007C25F8">
              <w:rPr>
                <w:noProof/>
                <w:webHidden/>
              </w:rPr>
              <w:fldChar w:fldCharType="separate"/>
            </w:r>
            <w:r w:rsidR="007C25F8">
              <w:rPr>
                <w:noProof/>
                <w:webHidden/>
              </w:rPr>
              <w:t>7</w:t>
            </w:r>
            <w:r w:rsidR="007C25F8">
              <w:rPr>
                <w:noProof/>
                <w:webHidden/>
              </w:rPr>
              <w:fldChar w:fldCharType="end"/>
            </w:r>
          </w:hyperlink>
        </w:p>
        <w:p w14:paraId="5BAB7758" w14:textId="5ACCD6E0" w:rsidR="007C25F8" w:rsidRDefault="00000000" w:rsidP="00A443F4">
          <w:pPr>
            <w:pStyle w:val="TOC2"/>
            <w:tabs>
              <w:tab w:val="left" w:pos="960"/>
              <w:tab w:val="right" w:leader="dot" w:pos="9016"/>
            </w:tabs>
            <w:spacing w:line="240" w:lineRule="auto"/>
            <w:rPr>
              <w:rFonts w:eastAsiaTheme="minorEastAsia"/>
              <w:noProof/>
              <w:sz w:val="24"/>
              <w:szCs w:val="24"/>
              <w:lang w:eastAsia="en-AU"/>
            </w:rPr>
          </w:pPr>
          <w:hyperlink w:anchor="_Toc178337665" w:history="1">
            <w:r w:rsidR="007C25F8" w:rsidRPr="008A1DBF">
              <w:rPr>
                <w:rStyle w:val="Hyperlink"/>
                <w:rFonts w:ascii="Arial" w:hAnsi="Arial" w:cs="Arial"/>
                <w:noProof/>
              </w:rPr>
              <w:t>2.2</w:t>
            </w:r>
            <w:r w:rsidR="007C25F8">
              <w:rPr>
                <w:rFonts w:eastAsiaTheme="minorEastAsia"/>
                <w:noProof/>
                <w:sz w:val="24"/>
                <w:szCs w:val="24"/>
                <w:lang w:eastAsia="en-AU"/>
              </w:rPr>
              <w:tab/>
            </w:r>
            <w:r w:rsidR="007C25F8" w:rsidRPr="008A1DBF">
              <w:rPr>
                <w:rStyle w:val="Hyperlink"/>
                <w:rFonts w:ascii="Arial" w:hAnsi="Arial" w:cs="Arial"/>
                <w:noProof/>
              </w:rPr>
              <w:t>Early Activation</w:t>
            </w:r>
            <w:r w:rsidR="007C25F8">
              <w:rPr>
                <w:noProof/>
                <w:webHidden/>
              </w:rPr>
              <w:tab/>
            </w:r>
            <w:r w:rsidR="007C25F8">
              <w:rPr>
                <w:noProof/>
                <w:webHidden/>
              </w:rPr>
              <w:fldChar w:fldCharType="begin"/>
            </w:r>
            <w:r w:rsidR="007C25F8">
              <w:rPr>
                <w:noProof/>
                <w:webHidden/>
              </w:rPr>
              <w:instrText xml:space="preserve"> PAGEREF _Toc178337665 \h </w:instrText>
            </w:r>
            <w:r w:rsidR="007C25F8">
              <w:rPr>
                <w:noProof/>
                <w:webHidden/>
              </w:rPr>
            </w:r>
            <w:r w:rsidR="007C25F8">
              <w:rPr>
                <w:noProof/>
                <w:webHidden/>
              </w:rPr>
              <w:fldChar w:fldCharType="separate"/>
            </w:r>
            <w:r w:rsidR="007C25F8">
              <w:rPr>
                <w:noProof/>
                <w:webHidden/>
              </w:rPr>
              <w:t>8</w:t>
            </w:r>
            <w:r w:rsidR="007C25F8">
              <w:rPr>
                <w:noProof/>
                <w:webHidden/>
              </w:rPr>
              <w:fldChar w:fldCharType="end"/>
            </w:r>
          </w:hyperlink>
        </w:p>
        <w:p w14:paraId="5C0E4721" w14:textId="479350E9" w:rsidR="007C25F8" w:rsidRDefault="00000000" w:rsidP="00A443F4">
          <w:pPr>
            <w:pStyle w:val="TOC2"/>
            <w:tabs>
              <w:tab w:val="left" w:pos="960"/>
              <w:tab w:val="right" w:leader="dot" w:pos="9016"/>
            </w:tabs>
            <w:spacing w:line="240" w:lineRule="auto"/>
            <w:rPr>
              <w:rFonts w:eastAsiaTheme="minorEastAsia"/>
              <w:noProof/>
              <w:sz w:val="24"/>
              <w:szCs w:val="24"/>
              <w:lang w:eastAsia="en-AU"/>
            </w:rPr>
          </w:pPr>
          <w:hyperlink w:anchor="_Toc178337666" w:history="1">
            <w:r w:rsidR="007C25F8" w:rsidRPr="008A1DBF">
              <w:rPr>
                <w:rStyle w:val="Hyperlink"/>
                <w:rFonts w:ascii="Arial" w:hAnsi="Arial" w:cs="Arial"/>
                <w:noProof/>
              </w:rPr>
              <w:t>2.3</w:t>
            </w:r>
            <w:r w:rsidR="007C25F8">
              <w:rPr>
                <w:rFonts w:eastAsiaTheme="minorEastAsia"/>
                <w:noProof/>
                <w:sz w:val="24"/>
                <w:szCs w:val="24"/>
                <w:lang w:eastAsia="en-AU"/>
              </w:rPr>
              <w:tab/>
            </w:r>
            <w:r w:rsidR="007C25F8" w:rsidRPr="008A1DBF">
              <w:rPr>
                <w:rStyle w:val="Hyperlink"/>
                <w:rFonts w:ascii="Arial" w:hAnsi="Arial" w:cs="Arial"/>
                <w:noProof/>
              </w:rPr>
              <w:t>Postal Address Confirmation</w:t>
            </w:r>
            <w:r w:rsidR="007C25F8">
              <w:rPr>
                <w:noProof/>
                <w:webHidden/>
              </w:rPr>
              <w:tab/>
            </w:r>
            <w:r w:rsidR="007C25F8">
              <w:rPr>
                <w:noProof/>
                <w:webHidden/>
              </w:rPr>
              <w:fldChar w:fldCharType="begin"/>
            </w:r>
            <w:r w:rsidR="007C25F8">
              <w:rPr>
                <w:noProof/>
                <w:webHidden/>
              </w:rPr>
              <w:instrText xml:space="preserve"> PAGEREF _Toc178337666 \h </w:instrText>
            </w:r>
            <w:r w:rsidR="007C25F8">
              <w:rPr>
                <w:noProof/>
                <w:webHidden/>
              </w:rPr>
            </w:r>
            <w:r w:rsidR="007C25F8">
              <w:rPr>
                <w:noProof/>
                <w:webHidden/>
              </w:rPr>
              <w:fldChar w:fldCharType="separate"/>
            </w:r>
            <w:r w:rsidR="007C25F8">
              <w:rPr>
                <w:noProof/>
                <w:webHidden/>
              </w:rPr>
              <w:t>8</w:t>
            </w:r>
            <w:r w:rsidR="007C25F8">
              <w:rPr>
                <w:noProof/>
                <w:webHidden/>
              </w:rPr>
              <w:fldChar w:fldCharType="end"/>
            </w:r>
          </w:hyperlink>
        </w:p>
        <w:p w14:paraId="2ACBA6DD" w14:textId="731CA05A" w:rsidR="007C25F8" w:rsidRDefault="00000000" w:rsidP="00A443F4">
          <w:pPr>
            <w:pStyle w:val="TOC1"/>
            <w:tabs>
              <w:tab w:val="left" w:pos="440"/>
              <w:tab w:val="right" w:leader="dot" w:pos="9016"/>
            </w:tabs>
            <w:spacing w:line="240" w:lineRule="auto"/>
            <w:rPr>
              <w:rFonts w:eastAsiaTheme="minorEastAsia"/>
              <w:noProof/>
              <w:sz w:val="24"/>
              <w:szCs w:val="24"/>
              <w:lang w:eastAsia="en-AU"/>
            </w:rPr>
          </w:pPr>
          <w:hyperlink w:anchor="_Toc178337667" w:history="1">
            <w:r w:rsidR="007C25F8" w:rsidRPr="008A1DBF">
              <w:rPr>
                <w:rStyle w:val="Hyperlink"/>
                <w:rFonts w:ascii="Arial" w:hAnsi="Arial" w:cs="Arial"/>
                <w:noProof/>
              </w:rPr>
              <w:t>3.</w:t>
            </w:r>
            <w:r w:rsidR="007C25F8">
              <w:rPr>
                <w:rFonts w:eastAsiaTheme="minorEastAsia"/>
                <w:noProof/>
                <w:sz w:val="24"/>
                <w:szCs w:val="24"/>
                <w:lang w:eastAsia="en-AU"/>
              </w:rPr>
              <w:tab/>
            </w:r>
            <w:r w:rsidR="007C25F8" w:rsidRPr="008A1DBF">
              <w:rPr>
                <w:rStyle w:val="Hyperlink"/>
                <w:rFonts w:ascii="Arial" w:hAnsi="Arial" w:cs="Arial"/>
                <w:noProof/>
              </w:rPr>
              <w:t>Recommendations and Conclusion</w:t>
            </w:r>
            <w:r w:rsidR="007C25F8">
              <w:rPr>
                <w:noProof/>
                <w:webHidden/>
              </w:rPr>
              <w:tab/>
            </w:r>
            <w:r w:rsidR="007C25F8">
              <w:rPr>
                <w:noProof/>
                <w:webHidden/>
              </w:rPr>
              <w:fldChar w:fldCharType="begin"/>
            </w:r>
            <w:r w:rsidR="007C25F8">
              <w:rPr>
                <w:noProof/>
                <w:webHidden/>
              </w:rPr>
              <w:instrText xml:space="preserve"> PAGEREF _Toc178337667 \h </w:instrText>
            </w:r>
            <w:r w:rsidR="007C25F8">
              <w:rPr>
                <w:noProof/>
                <w:webHidden/>
              </w:rPr>
            </w:r>
            <w:r w:rsidR="007C25F8">
              <w:rPr>
                <w:noProof/>
                <w:webHidden/>
              </w:rPr>
              <w:fldChar w:fldCharType="separate"/>
            </w:r>
            <w:r w:rsidR="007C25F8">
              <w:rPr>
                <w:noProof/>
                <w:webHidden/>
              </w:rPr>
              <w:t>10</w:t>
            </w:r>
            <w:r w:rsidR="007C25F8">
              <w:rPr>
                <w:noProof/>
                <w:webHidden/>
              </w:rPr>
              <w:fldChar w:fldCharType="end"/>
            </w:r>
          </w:hyperlink>
        </w:p>
        <w:p w14:paraId="24D6533A" w14:textId="5199CCF1" w:rsidR="005C0E2C" w:rsidRPr="00D14A4F" w:rsidRDefault="005C0E2C" w:rsidP="00A443F4">
          <w:pPr>
            <w:spacing w:line="240" w:lineRule="auto"/>
            <w:rPr>
              <w:rFonts w:ascii="Arial" w:hAnsi="Arial" w:cs="Arial"/>
            </w:rPr>
          </w:pPr>
          <w:r w:rsidRPr="00D14A4F">
            <w:rPr>
              <w:rFonts w:ascii="Arial" w:hAnsi="Arial" w:cs="Arial"/>
              <w:b/>
              <w:bCs/>
              <w:noProof/>
            </w:rPr>
            <w:fldChar w:fldCharType="end"/>
          </w:r>
        </w:p>
      </w:sdtContent>
    </w:sdt>
    <w:p w14:paraId="26B3A194" w14:textId="77777777" w:rsidR="00A54127" w:rsidRPr="00D14A4F" w:rsidRDefault="00A54127" w:rsidP="00A443F4">
      <w:pPr>
        <w:spacing w:line="240" w:lineRule="auto"/>
        <w:rPr>
          <w:rFonts w:ascii="Arial" w:eastAsia="Times New Roman" w:hAnsi="Arial" w:cs="Arial"/>
          <w:b/>
          <w:color w:val="404040"/>
          <w:kern w:val="0"/>
          <w:sz w:val="28"/>
          <w:lang w:eastAsia="en-GB"/>
          <w14:ligatures w14:val="none"/>
        </w:rPr>
      </w:pPr>
      <w:r w:rsidRPr="00D14A4F">
        <w:rPr>
          <w:rFonts w:ascii="Arial" w:eastAsia="Times New Roman" w:hAnsi="Arial" w:cs="Arial"/>
          <w:b/>
          <w:color w:val="404040"/>
          <w:kern w:val="0"/>
          <w:sz w:val="28"/>
          <w:lang w:eastAsia="en-GB"/>
          <w14:ligatures w14:val="none"/>
        </w:rPr>
        <w:br w:type="page"/>
      </w:r>
    </w:p>
    <w:p w14:paraId="0B5170BE" w14:textId="331423F1" w:rsidR="00E91604" w:rsidRPr="00D14A4F" w:rsidRDefault="00E91604" w:rsidP="00A443F4">
      <w:pPr>
        <w:keepNext/>
        <w:keepLines/>
        <w:spacing w:before="240" w:after="0" w:line="240" w:lineRule="auto"/>
        <w:outlineLvl w:val="0"/>
        <w:rPr>
          <w:rFonts w:ascii="Arial" w:eastAsia="Times New Roman" w:hAnsi="Arial" w:cs="Arial"/>
          <w:b/>
          <w:bCs/>
          <w:color w:val="404040"/>
          <w:kern w:val="0"/>
          <w:sz w:val="28"/>
          <w:szCs w:val="28"/>
          <w:lang w:eastAsia="en-GB"/>
          <w14:ligatures w14:val="none"/>
        </w:rPr>
      </w:pPr>
      <w:bookmarkStart w:id="4" w:name="_Toc178337659"/>
      <w:r w:rsidRPr="3494C148">
        <w:rPr>
          <w:rFonts w:ascii="Arial" w:eastAsia="Times New Roman" w:hAnsi="Arial" w:cs="Arial"/>
          <w:b/>
          <w:bCs/>
          <w:color w:val="404040"/>
          <w:kern w:val="0"/>
          <w:sz w:val="28"/>
          <w:szCs w:val="28"/>
          <w:lang w:eastAsia="en-GB"/>
          <w14:ligatures w14:val="none"/>
        </w:rPr>
        <w:lastRenderedPageBreak/>
        <w:t>Executive Summary</w:t>
      </w:r>
      <w:bookmarkEnd w:id="4"/>
    </w:p>
    <w:p w14:paraId="4E5ED84D" w14:textId="77777777" w:rsidR="00E91604" w:rsidRPr="00D14A4F" w:rsidRDefault="00E91604" w:rsidP="00A443F4">
      <w:pPr>
        <w:spacing w:line="240" w:lineRule="auto"/>
        <w:rPr>
          <w:rFonts w:ascii="Arial" w:hAnsi="Arial" w:cs="Arial"/>
          <w:lang w:eastAsia="en-GB"/>
        </w:rPr>
      </w:pPr>
    </w:p>
    <w:p w14:paraId="2272C871" w14:textId="496FD14E" w:rsidR="00E10759" w:rsidRDefault="00E91604" w:rsidP="00A443F4">
      <w:pPr>
        <w:spacing w:line="240" w:lineRule="auto"/>
        <w:rPr>
          <w:rFonts w:ascii="Arial" w:hAnsi="Arial" w:cs="Arial"/>
        </w:rPr>
      </w:pPr>
      <w:r w:rsidRPr="00D14A4F">
        <w:rPr>
          <w:rFonts w:ascii="Arial" w:hAnsi="Arial" w:cs="Arial"/>
          <w:lang w:eastAsia="en-GB"/>
        </w:rPr>
        <w:t xml:space="preserve">The Cancellations for All project has been funded by ACCAN to explore the issues raised </w:t>
      </w:r>
      <w:r w:rsidR="002500D2">
        <w:rPr>
          <w:rFonts w:ascii="Arial" w:hAnsi="Arial" w:cs="Arial"/>
          <w:lang w:eastAsia="en-GB"/>
        </w:rPr>
        <w:t xml:space="preserve">by people with disability to </w:t>
      </w:r>
      <w:r w:rsidRPr="00D14A4F">
        <w:rPr>
          <w:rFonts w:ascii="Arial" w:hAnsi="Arial" w:cs="Arial"/>
          <w:lang w:eastAsia="en-GB"/>
        </w:rPr>
        <w:t>CFA Australia</w:t>
      </w:r>
      <w:r w:rsidR="002500D2">
        <w:rPr>
          <w:rFonts w:ascii="Arial" w:hAnsi="Arial" w:cs="Arial"/>
          <w:lang w:eastAsia="en-GB"/>
        </w:rPr>
        <w:t>, relating to the cancellations of mobile</w:t>
      </w:r>
      <w:r w:rsidRPr="00D14A4F">
        <w:rPr>
          <w:rFonts w:ascii="Arial" w:hAnsi="Arial" w:cs="Arial"/>
          <w:lang w:eastAsia="en-GB"/>
        </w:rPr>
        <w:t xml:space="preserve"> phone plans. Although a comprehensive assessment was taken of 44 SIM providers in relation to user testing and conformance against the WCAG 2.2 standard</w:t>
      </w:r>
      <w:r w:rsidR="00940A8F">
        <w:rPr>
          <w:rFonts w:ascii="Arial" w:hAnsi="Arial" w:cs="Arial"/>
          <w:lang w:eastAsia="en-GB"/>
        </w:rPr>
        <w:t>, s</w:t>
      </w:r>
      <w:r w:rsidRPr="00D14A4F">
        <w:rPr>
          <w:rFonts w:ascii="Arial" w:hAnsi="Arial" w:cs="Arial"/>
          <w:lang w:eastAsia="en-GB"/>
        </w:rPr>
        <w:t>ome key issues relating to accessibility fell out</w:t>
      </w:r>
      <w:r w:rsidR="00387672">
        <w:rPr>
          <w:rFonts w:ascii="Arial" w:hAnsi="Arial" w:cs="Arial"/>
          <w:lang w:eastAsia="en-GB"/>
        </w:rPr>
        <w:t xml:space="preserve"> </w:t>
      </w:r>
      <w:r w:rsidRPr="00D14A4F">
        <w:rPr>
          <w:rFonts w:ascii="Arial" w:hAnsi="Arial" w:cs="Arial"/>
          <w:lang w:eastAsia="en-GB"/>
        </w:rPr>
        <w:t>of</w:t>
      </w:r>
      <w:r w:rsidR="00850E08">
        <w:rPr>
          <w:rFonts w:ascii="Arial" w:hAnsi="Arial" w:cs="Arial"/>
          <w:lang w:eastAsia="en-GB"/>
        </w:rPr>
        <w:t xml:space="preserve"> </w:t>
      </w:r>
      <w:r w:rsidRPr="00D14A4F">
        <w:rPr>
          <w:rFonts w:ascii="Arial" w:hAnsi="Arial" w:cs="Arial"/>
          <w:lang w:eastAsia="en-GB"/>
        </w:rPr>
        <w:t xml:space="preserve">scope in the main report. As such, this </w:t>
      </w:r>
      <w:r w:rsidR="00FF1339">
        <w:rPr>
          <w:rFonts w:ascii="Arial" w:hAnsi="Arial" w:cs="Arial"/>
          <w:lang w:eastAsia="en-GB"/>
        </w:rPr>
        <w:t xml:space="preserve">Companion </w:t>
      </w:r>
      <w:r w:rsidRPr="00D14A4F">
        <w:rPr>
          <w:rFonts w:ascii="Arial" w:hAnsi="Arial" w:cs="Arial"/>
          <w:lang w:eastAsia="en-GB"/>
        </w:rPr>
        <w:t>Report outlines</w:t>
      </w:r>
      <w:r w:rsidR="008634A0">
        <w:rPr>
          <w:rFonts w:ascii="Arial" w:hAnsi="Arial" w:cs="Arial"/>
          <w:lang w:eastAsia="en-GB"/>
        </w:rPr>
        <w:t xml:space="preserve"> additional</w:t>
      </w:r>
      <w:r w:rsidRPr="00D14A4F">
        <w:rPr>
          <w:rFonts w:ascii="Arial" w:hAnsi="Arial" w:cs="Arial"/>
          <w:lang w:eastAsia="en-GB"/>
        </w:rPr>
        <w:t xml:space="preserve"> issues that </w:t>
      </w:r>
      <w:r w:rsidR="00854438">
        <w:rPr>
          <w:rFonts w:ascii="Arial" w:hAnsi="Arial" w:cs="Arial"/>
          <w:lang w:eastAsia="en-GB"/>
        </w:rPr>
        <w:t>are ex</w:t>
      </w:r>
      <w:r w:rsidRPr="00D14A4F">
        <w:rPr>
          <w:rFonts w:ascii="Arial" w:hAnsi="Arial" w:cs="Arial"/>
          <w:lang w:eastAsia="en-GB"/>
        </w:rPr>
        <w:t xml:space="preserve">tremely important to accessibility for all. </w:t>
      </w:r>
      <w:r w:rsidR="004234D5">
        <w:rPr>
          <w:rFonts w:ascii="Arial" w:hAnsi="Arial" w:cs="Arial"/>
        </w:rPr>
        <w:t xml:space="preserve">This includes </w:t>
      </w:r>
      <w:r w:rsidR="008E4704">
        <w:rPr>
          <w:rFonts w:ascii="Arial" w:hAnsi="Arial" w:cs="Arial"/>
        </w:rPr>
        <w:t>i</w:t>
      </w:r>
      <w:r w:rsidR="00E10759">
        <w:rPr>
          <w:rFonts w:ascii="Arial" w:hAnsi="Arial" w:cs="Arial"/>
        </w:rPr>
        <w:t>tems such as</w:t>
      </w:r>
      <w:r w:rsidR="008E4704">
        <w:rPr>
          <w:rFonts w:ascii="Arial" w:hAnsi="Arial" w:cs="Arial"/>
        </w:rPr>
        <w:t xml:space="preserve"> </w:t>
      </w:r>
      <w:r w:rsidR="004234D5">
        <w:rPr>
          <w:rFonts w:ascii="Arial" w:hAnsi="Arial" w:cs="Arial"/>
        </w:rPr>
        <w:t>i</w:t>
      </w:r>
      <w:r w:rsidR="004234D5" w:rsidRPr="00256496">
        <w:rPr>
          <w:rFonts w:ascii="Arial" w:hAnsi="Arial" w:cs="Arial"/>
        </w:rPr>
        <w:t>dentification requirements</w:t>
      </w:r>
      <w:r w:rsidR="004234D5">
        <w:rPr>
          <w:rFonts w:ascii="Arial" w:hAnsi="Arial" w:cs="Arial"/>
        </w:rPr>
        <w:t xml:space="preserve">, early activation, and postal address </w:t>
      </w:r>
      <w:r w:rsidR="008E4704">
        <w:rPr>
          <w:rFonts w:ascii="Arial" w:hAnsi="Arial" w:cs="Arial"/>
        </w:rPr>
        <w:t>accuracy</w:t>
      </w:r>
      <w:r w:rsidR="00AD38E8">
        <w:rPr>
          <w:rFonts w:ascii="Arial" w:hAnsi="Arial" w:cs="Arial"/>
        </w:rPr>
        <w:t>.</w:t>
      </w:r>
      <w:r w:rsidR="008E4704">
        <w:rPr>
          <w:rFonts w:ascii="Arial" w:hAnsi="Arial" w:cs="Arial"/>
        </w:rPr>
        <w:t xml:space="preserve"> </w:t>
      </w:r>
    </w:p>
    <w:p w14:paraId="6A3874F6" w14:textId="77777777" w:rsidR="00BB3687" w:rsidRDefault="008E4704" w:rsidP="00A443F4">
      <w:pPr>
        <w:spacing w:line="240" w:lineRule="auto"/>
        <w:rPr>
          <w:rFonts w:ascii="Arial" w:hAnsi="Arial" w:cs="Arial"/>
        </w:rPr>
      </w:pPr>
      <w:r>
        <w:rPr>
          <w:rFonts w:ascii="Arial" w:hAnsi="Arial" w:cs="Arial"/>
        </w:rPr>
        <w:t>In line with this, CFA Australia recommends</w:t>
      </w:r>
      <w:r w:rsidR="00BB3687">
        <w:rPr>
          <w:rFonts w:ascii="Arial" w:hAnsi="Arial" w:cs="Arial"/>
        </w:rPr>
        <w:t>:</w:t>
      </w:r>
    </w:p>
    <w:p w14:paraId="0B6623B7" w14:textId="7B6E4EF8" w:rsidR="009B4667" w:rsidRPr="00A62B73" w:rsidRDefault="009B4667" w:rsidP="00A443F4">
      <w:pPr>
        <w:pStyle w:val="ListParagraph"/>
        <w:numPr>
          <w:ilvl w:val="0"/>
          <w:numId w:val="24"/>
        </w:numPr>
        <w:spacing w:line="240" w:lineRule="auto"/>
        <w:rPr>
          <w:rStyle w:val="Hyperlink"/>
          <w:rFonts w:ascii="Arial" w:eastAsiaTheme="majorEastAsia" w:hAnsi="Arial" w:cs="Arial"/>
          <w:color w:val="auto"/>
          <w:sz w:val="40"/>
          <w:szCs w:val="40"/>
          <w:u w:val="none"/>
        </w:rPr>
      </w:pPr>
      <w:r w:rsidRPr="007C25F8">
        <w:rPr>
          <w:rFonts w:ascii="Arial" w:hAnsi="Arial" w:cs="Arial"/>
        </w:rPr>
        <w:t xml:space="preserve">The ACMA notify </w:t>
      </w:r>
      <w:r w:rsidR="00943C48">
        <w:rPr>
          <w:rFonts w:ascii="Arial" w:hAnsi="Arial" w:cs="Arial"/>
        </w:rPr>
        <w:t>C</w:t>
      </w:r>
      <w:r w:rsidR="009A6265">
        <w:rPr>
          <w:rFonts w:ascii="Arial" w:hAnsi="Arial" w:cs="Arial"/>
        </w:rPr>
        <w:t xml:space="preserve">arriage </w:t>
      </w:r>
      <w:r w:rsidR="00943C48">
        <w:rPr>
          <w:rFonts w:ascii="Arial" w:hAnsi="Arial" w:cs="Arial"/>
        </w:rPr>
        <w:t>Service Provider</w:t>
      </w:r>
      <w:r w:rsidRPr="007C25F8">
        <w:rPr>
          <w:rFonts w:ascii="Arial" w:hAnsi="Arial" w:cs="Arial"/>
        </w:rPr>
        <w:t>s</w:t>
      </w:r>
      <w:r w:rsidR="00943C48">
        <w:rPr>
          <w:rFonts w:ascii="Arial" w:hAnsi="Arial" w:cs="Arial"/>
        </w:rPr>
        <w:t xml:space="preserve"> (CSPs)</w:t>
      </w:r>
      <w:r w:rsidRPr="007C25F8">
        <w:rPr>
          <w:rFonts w:ascii="Arial" w:hAnsi="Arial" w:cs="Arial"/>
        </w:rPr>
        <w:t xml:space="preserve"> of their obligation to </w:t>
      </w:r>
      <w:r w:rsidR="002214E0">
        <w:rPr>
          <w:rFonts w:ascii="Arial" w:hAnsi="Arial" w:cs="Arial"/>
        </w:rPr>
        <w:t xml:space="preserve">review and </w:t>
      </w:r>
      <w:r w:rsidRPr="007C25F8">
        <w:rPr>
          <w:rFonts w:ascii="Arial" w:hAnsi="Arial" w:cs="Arial"/>
        </w:rPr>
        <w:t>comply with the Telecommunications Service Provider (Customer Identity Authentication) Determination 2022</w:t>
      </w:r>
      <w:r w:rsidR="003D1986">
        <w:rPr>
          <w:rFonts w:ascii="Arial" w:hAnsi="Arial" w:cs="Arial"/>
        </w:rPr>
        <w:t xml:space="preserve">. </w:t>
      </w:r>
      <w:r w:rsidR="002214E0">
        <w:rPr>
          <w:rFonts w:ascii="Arial" w:hAnsi="Arial" w:cs="Arial"/>
        </w:rPr>
        <w:t>This includes</w:t>
      </w:r>
      <w:r>
        <w:rPr>
          <w:rFonts w:ascii="Arial" w:hAnsi="Arial" w:cs="Arial"/>
        </w:rPr>
        <w:t xml:space="preserve"> ensuring</w:t>
      </w:r>
      <w:r w:rsidRPr="007C25F8">
        <w:rPr>
          <w:rFonts w:ascii="Arial" w:hAnsi="Arial" w:cs="Arial"/>
        </w:rPr>
        <w:t xml:space="preserve"> identity </w:t>
      </w:r>
      <w:r>
        <w:rPr>
          <w:rFonts w:ascii="Arial" w:hAnsi="Arial" w:cs="Arial"/>
        </w:rPr>
        <w:t>options align with those set out in the determination, with no undue restriction on suitable identification formats</w:t>
      </w:r>
      <w:r w:rsidR="002214E0">
        <w:rPr>
          <w:rFonts w:ascii="Arial" w:hAnsi="Arial" w:cs="Arial"/>
        </w:rPr>
        <w:t xml:space="preserve"> or verification options.</w:t>
      </w:r>
    </w:p>
    <w:p w14:paraId="05EF2BE4" w14:textId="77777777" w:rsidR="00E0658B" w:rsidRPr="007C25F8" w:rsidRDefault="00E0658B" w:rsidP="00A443F4">
      <w:pPr>
        <w:pStyle w:val="ListParagraph"/>
        <w:numPr>
          <w:ilvl w:val="0"/>
          <w:numId w:val="24"/>
        </w:numPr>
        <w:spacing w:line="240" w:lineRule="auto"/>
        <w:rPr>
          <w:rFonts w:ascii="Arial" w:hAnsi="Arial" w:cs="Arial"/>
          <w:b/>
          <w:sz w:val="40"/>
          <w:szCs w:val="36"/>
          <w:lang w:eastAsia="en-GB"/>
        </w:rPr>
      </w:pPr>
      <w:r>
        <w:rPr>
          <w:rFonts w:ascii="Arial" w:hAnsi="Arial" w:cs="Arial"/>
        </w:rPr>
        <w:t>The ACCC investigate whether ‘starting the clock’ on SIM cards consumers have not yet received is an unfair business practice for vulnerable consumers</w:t>
      </w:r>
    </w:p>
    <w:p w14:paraId="732BD87A" w14:textId="3B26A289" w:rsidR="00C22B6C" w:rsidRPr="007C25F8" w:rsidRDefault="000F39E9" w:rsidP="00A443F4">
      <w:pPr>
        <w:pStyle w:val="ListParagraph"/>
        <w:numPr>
          <w:ilvl w:val="0"/>
          <w:numId w:val="24"/>
        </w:numPr>
        <w:spacing w:line="240" w:lineRule="auto"/>
        <w:rPr>
          <w:rFonts w:ascii="Arial" w:hAnsi="Arial" w:cs="Arial"/>
          <w:b/>
          <w:sz w:val="40"/>
          <w:szCs w:val="36"/>
          <w:lang w:eastAsia="en-GB"/>
        </w:rPr>
      </w:pPr>
      <w:r>
        <w:rPr>
          <w:rFonts w:ascii="Arial" w:hAnsi="Arial" w:cs="Arial"/>
        </w:rPr>
        <w:t>CSPs e</w:t>
      </w:r>
      <w:r w:rsidR="00F4202F">
        <w:rPr>
          <w:rFonts w:ascii="Arial" w:hAnsi="Arial" w:cs="Arial"/>
        </w:rPr>
        <w:t>nsur</w:t>
      </w:r>
      <w:r>
        <w:rPr>
          <w:rFonts w:ascii="Arial" w:hAnsi="Arial" w:cs="Arial"/>
        </w:rPr>
        <w:t>e</w:t>
      </w:r>
      <w:r w:rsidR="00F4202F">
        <w:rPr>
          <w:rFonts w:ascii="Arial" w:hAnsi="Arial" w:cs="Arial"/>
        </w:rPr>
        <w:t xml:space="preserve"> </w:t>
      </w:r>
      <w:r w:rsidR="00D240CE" w:rsidRPr="007C25F8">
        <w:rPr>
          <w:rFonts w:ascii="Arial" w:hAnsi="Arial" w:cs="Arial"/>
        </w:rPr>
        <w:t>f</w:t>
      </w:r>
      <w:r w:rsidR="00350CDA" w:rsidRPr="007C25F8">
        <w:rPr>
          <w:rFonts w:ascii="Arial" w:hAnsi="Arial" w:cs="Arial"/>
        </w:rPr>
        <w:t xml:space="preserve">orm fields for postal addresses </w:t>
      </w:r>
      <w:r w:rsidR="00D240CE" w:rsidRPr="007C25F8">
        <w:rPr>
          <w:rFonts w:ascii="Arial" w:hAnsi="Arial" w:cs="Arial"/>
        </w:rPr>
        <w:t>are</w:t>
      </w:r>
      <w:r w:rsidR="00350CDA" w:rsidRPr="007C25F8">
        <w:rPr>
          <w:rFonts w:ascii="Arial" w:hAnsi="Arial" w:cs="Arial"/>
        </w:rPr>
        <w:t xml:space="preserve"> flexible to allow </w:t>
      </w:r>
      <w:r w:rsidR="00A37675" w:rsidRPr="007C25F8">
        <w:rPr>
          <w:rFonts w:ascii="Arial" w:hAnsi="Arial" w:cs="Arial"/>
        </w:rPr>
        <w:t>them to include only</w:t>
      </w:r>
      <w:r w:rsidR="00350CDA" w:rsidRPr="007C25F8">
        <w:rPr>
          <w:rFonts w:ascii="Arial" w:hAnsi="Arial" w:cs="Arial"/>
        </w:rPr>
        <w:t xml:space="preserve"> a simple street </w:t>
      </w:r>
      <w:r w:rsidR="00D240CE" w:rsidRPr="007C25F8">
        <w:rPr>
          <w:rFonts w:ascii="Arial" w:hAnsi="Arial" w:cs="Arial"/>
        </w:rPr>
        <w:t xml:space="preserve">name </w:t>
      </w:r>
      <w:r w:rsidR="00350CDA" w:rsidRPr="007C25F8">
        <w:rPr>
          <w:rFonts w:ascii="Arial" w:hAnsi="Arial" w:cs="Arial"/>
        </w:rPr>
        <w:t>and number.</w:t>
      </w:r>
    </w:p>
    <w:p w14:paraId="007C45DC" w14:textId="17282185" w:rsidR="00F4202F" w:rsidRDefault="00C22B6C" w:rsidP="00A443F4">
      <w:pPr>
        <w:spacing w:after="240" w:line="240" w:lineRule="auto"/>
        <w:rPr>
          <w:rFonts w:ascii="Arial" w:hAnsi="Arial" w:cs="Arial"/>
        </w:rPr>
      </w:pPr>
      <w:r>
        <w:rPr>
          <w:rFonts w:ascii="Arial" w:hAnsi="Arial" w:cs="Arial"/>
        </w:rPr>
        <w:t>These</w:t>
      </w:r>
      <w:r w:rsidR="00AD38E8">
        <w:rPr>
          <w:rFonts w:ascii="Arial" w:hAnsi="Arial" w:cs="Arial"/>
        </w:rPr>
        <w:t xml:space="preserve"> recommendations</w:t>
      </w:r>
      <w:r>
        <w:rPr>
          <w:rFonts w:ascii="Arial" w:hAnsi="Arial" w:cs="Arial"/>
        </w:rPr>
        <w:t xml:space="preserve">  will support the access and independence of people with disability when attaining a SIM </w:t>
      </w:r>
      <w:r w:rsidR="009557D2">
        <w:rPr>
          <w:rFonts w:ascii="Arial" w:hAnsi="Arial" w:cs="Arial"/>
        </w:rPr>
        <w:t>from</w:t>
      </w:r>
      <w:r>
        <w:rPr>
          <w:rFonts w:ascii="Arial" w:hAnsi="Arial" w:cs="Arial"/>
        </w:rPr>
        <w:t xml:space="preserve"> mobile service providers.</w:t>
      </w:r>
    </w:p>
    <w:p w14:paraId="27DE8370" w14:textId="24D1E104" w:rsidR="50FB0841" w:rsidRDefault="00F4202F" w:rsidP="00A443F4">
      <w:pPr>
        <w:spacing w:after="240" w:line="240" w:lineRule="auto"/>
      </w:pPr>
      <w:r>
        <w:rPr>
          <w:rFonts w:ascii="Arial" w:hAnsi="Arial" w:cs="Arial"/>
        </w:rPr>
        <w:br w:type="page"/>
      </w:r>
    </w:p>
    <w:p w14:paraId="4D918649" w14:textId="77777777" w:rsidR="008868DA" w:rsidRPr="00D14A4F" w:rsidRDefault="008868DA" w:rsidP="00A443F4">
      <w:pPr>
        <w:pStyle w:val="Heading1"/>
        <w:numPr>
          <w:ilvl w:val="0"/>
          <w:numId w:val="18"/>
        </w:numPr>
        <w:tabs>
          <w:tab w:val="num" w:pos="360"/>
        </w:tabs>
        <w:spacing w:line="240" w:lineRule="auto"/>
        <w:ind w:left="0" w:firstLine="0"/>
        <w:rPr>
          <w:rFonts w:ascii="Arial" w:hAnsi="Arial" w:cs="Arial"/>
        </w:rPr>
      </w:pPr>
      <w:bookmarkStart w:id="5" w:name="_Toc165121973"/>
      <w:bookmarkStart w:id="6" w:name="_Toc178337660"/>
      <w:r w:rsidRPr="00D14A4F">
        <w:rPr>
          <w:rFonts w:ascii="Arial" w:hAnsi="Arial" w:cs="Arial"/>
        </w:rPr>
        <w:lastRenderedPageBreak/>
        <w:t>Introduction</w:t>
      </w:r>
      <w:bookmarkEnd w:id="5"/>
      <w:bookmarkEnd w:id="6"/>
    </w:p>
    <w:p w14:paraId="62D97309" w14:textId="77777777" w:rsidR="008868DA" w:rsidRPr="00D14A4F" w:rsidRDefault="008868DA" w:rsidP="00A443F4">
      <w:pPr>
        <w:spacing w:after="0" w:line="240" w:lineRule="auto"/>
        <w:rPr>
          <w:rFonts w:ascii="Arial" w:hAnsi="Arial" w:cs="Arial"/>
          <w:b/>
          <w:bCs/>
          <w:color w:val="404040" w:themeColor="text1" w:themeTint="BF"/>
        </w:rPr>
      </w:pPr>
    </w:p>
    <w:p w14:paraId="4B1F1C47" w14:textId="77777777" w:rsidR="008868DA" w:rsidRPr="00D14A4F" w:rsidRDefault="008868DA" w:rsidP="00A443F4">
      <w:pPr>
        <w:pStyle w:val="Heading2"/>
        <w:spacing w:line="240" w:lineRule="auto"/>
        <w:rPr>
          <w:rFonts w:ascii="Arial" w:hAnsi="Arial" w:cs="Arial"/>
        </w:rPr>
      </w:pPr>
      <w:bookmarkStart w:id="7" w:name="_Toc165121974"/>
      <w:bookmarkStart w:id="8" w:name="_Toc178337661"/>
      <w:r w:rsidRPr="00D14A4F">
        <w:rPr>
          <w:rFonts w:ascii="Arial" w:hAnsi="Arial" w:cs="Arial"/>
        </w:rPr>
        <w:t>1.1 Project overview</w:t>
      </w:r>
      <w:bookmarkEnd w:id="7"/>
      <w:bookmarkEnd w:id="8"/>
      <w:r w:rsidRPr="00D14A4F">
        <w:rPr>
          <w:rFonts w:ascii="Arial" w:hAnsi="Arial" w:cs="Arial"/>
        </w:rPr>
        <w:t xml:space="preserve"> </w:t>
      </w:r>
    </w:p>
    <w:p w14:paraId="038C9AE0" w14:textId="77777777" w:rsidR="008868DA" w:rsidRPr="00D14A4F" w:rsidRDefault="008868DA" w:rsidP="00A443F4">
      <w:pPr>
        <w:spacing w:after="0" w:line="240" w:lineRule="auto"/>
        <w:rPr>
          <w:rFonts w:ascii="Arial" w:hAnsi="Arial" w:cs="Arial"/>
          <w:b/>
          <w:bCs/>
          <w:color w:val="404040" w:themeColor="text1" w:themeTint="BF"/>
        </w:rPr>
      </w:pPr>
    </w:p>
    <w:p w14:paraId="441E3700" w14:textId="77777777" w:rsidR="008868DA" w:rsidRPr="00F67466" w:rsidRDefault="008868DA" w:rsidP="00A443F4">
      <w:pPr>
        <w:spacing w:line="240" w:lineRule="auto"/>
        <w:rPr>
          <w:rFonts w:ascii="Arial" w:hAnsi="Arial" w:cs="Arial"/>
        </w:rPr>
      </w:pPr>
      <w:r w:rsidRPr="00F67466">
        <w:rPr>
          <w:rFonts w:ascii="Arial" w:hAnsi="Arial" w:cs="Arial"/>
        </w:rPr>
        <w:t>The ‘Cancellations for All’ project was launched to support people with disability, their families, and carers over accessibility issues in the telecommunications sector regarding the cancellation of mobile services. CFA Australia applied for funding from ACCAN through their grants program. This allowed CFA Australia to facilitate research and analysis on which accessibility issues were prevalent when cancelling a prepaid mobile service, along with the associated support options that were available and how these issues could be addressed.</w:t>
      </w:r>
      <w:bookmarkStart w:id="9" w:name="_Toc70596878"/>
      <w:r w:rsidRPr="00F67466">
        <w:rPr>
          <w:rFonts w:ascii="Arial" w:hAnsi="Arial" w:cs="Arial"/>
        </w:rPr>
        <w:t xml:space="preserve"> </w:t>
      </w:r>
    </w:p>
    <w:p w14:paraId="5630DA9C" w14:textId="2B324F3D" w:rsidR="008868DA" w:rsidRPr="00F67466" w:rsidRDefault="008868DA" w:rsidP="00A443F4">
      <w:pPr>
        <w:spacing w:line="240" w:lineRule="auto"/>
        <w:rPr>
          <w:rFonts w:ascii="Arial" w:hAnsi="Arial" w:cs="Arial"/>
        </w:rPr>
      </w:pPr>
      <w:r w:rsidRPr="00F67466">
        <w:rPr>
          <w:rFonts w:ascii="Arial" w:hAnsi="Arial" w:cs="Arial"/>
        </w:rPr>
        <w:t xml:space="preserve">This project began in September 2023 with the report </w:t>
      </w:r>
      <w:r w:rsidR="002D5644" w:rsidRPr="00F67466">
        <w:rPr>
          <w:rFonts w:ascii="Arial" w:hAnsi="Arial" w:cs="Arial"/>
        </w:rPr>
        <w:t xml:space="preserve">being </w:t>
      </w:r>
      <w:r w:rsidRPr="00F67466">
        <w:rPr>
          <w:rFonts w:ascii="Arial" w:hAnsi="Arial" w:cs="Arial"/>
        </w:rPr>
        <w:t xml:space="preserve">completed in April 2024, which is available as a free reference on the </w:t>
      </w:r>
      <w:hyperlink r:id="rId12" w:history="1">
        <w:r w:rsidRPr="00F67466">
          <w:rPr>
            <w:rStyle w:val="Hyperlink"/>
            <w:rFonts w:ascii="Arial" w:hAnsi="Arial" w:cs="Arial"/>
            <w:color w:val="auto"/>
          </w:rPr>
          <w:t>CFA Australia website</w:t>
        </w:r>
      </w:hyperlink>
      <w:r w:rsidRPr="00F67466">
        <w:rPr>
          <w:rFonts w:ascii="Arial" w:hAnsi="Arial" w:cs="Arial"/>
        </w:rPr>
        <w:t>.</w:t>
      </w:r>
    </w:p>
    <w:p w14:paraId="07C62128" w14:textId="7B5CA2BB" w:rsidR="00E91604" w:rsidRPr="00F67466" w:rsidRDefault="00E91604" w:rsidP="00A443F4">
      <w:pPr>
        <w:spacing w:line="240" w:lineRule="auto"/>
        <w:rPr>
          <w:rFonts w:ascii="Arial" w:hAnsi="Arial" w:cs="Arial"/>
        </w:rPr>
      </w:pPr>
      <w:r w:rsidRPr="00F67466">
        <w:rPr>
          <w:rFonts w:ascii="Arial" w:hAnsi="Arial" w:cs="Arial"/>
        </w:rPr>
        <w:t xml:space="preserve">During this process </w:t>
      </w:r>
      <w:r w:rsidR="002D5644" w:rsidRPr="00F67466">
        <w:rPr>
          <w:rFonts w:ascii="Arial" w:hAnsi="Arial" w:cs="Arial"/>
        </w:rPr>
        <w:t xml:space="preserve">CFA Australia </w:t>
      </w:r>
      <w:r w:rsidRPr="00F67466">
        <w:rPr>
          <w:rFonts w:ascii="Arial" w:hAnsi="Arial" w:cs="Arial"/>
        </w:rPr>
        <w:t xml:space="preserve">found </w:t>
      </w:r>
      <w:r w:rsidR="00314924" w:rsidRPr="00F67466">
        <w:rPr>
          <w:rFonts w:ascii="Arial" w:hAnsi="Arial" w:cs="Arial"/>
        </w:rPr>
        <w:t>issues that were</w:t>
      </w:r>
      <w:r w:rsidRPr="00F67466">
        <w:rPr>
          <w:rFonts w:ascii="Arial" w:hAnsi="Arial" w:cs="Arial"/>
        </w:rPr>
        <w:t xml:space="preserve"> out of scope </w:t>
      </w:r>
      <w:r w:rsidR="00314924" w:rsidRPr="00F67466">
        <w:rPr>
          <w:rFonts w:ascii="Arial" w:hAnsi="Arial" w:cs="Arial"/>
        </w:rPr>
        <w:t xml:space="preserve">to the project despite being integral </w:t>
      </w:r>
      <w:r w:rsidRPr="00F67466">
        <w:rPr>
          <w:rFonts w:ascii="Arial" w:hAnsi="Arial" w:cs="Arial"/>
        </w:rPr>
        <w:t>to</w:t>
      </w:r>
      <w:r w:rsidR="00314924" w:rsidRPr="00F67466">
        <w:rPr>
          <w:rFonts w:ascii="Arial" w:hAnsi="Arial" w:cs="Arial"/>
        </w:rPr>
        <w:t xml:space="preserve"> the</w:t>
      </w:r>
      <w:r w:rsidRPr="00F67466">
        <w:rPr>
          <w:rFonts w:ascii="Arial" w:hAnsi="Arial" w:cs="Arial"/>
        </w:rPr>
        <w:t xml:space="preserve"> </w:t>
      </w:r>
      <w:r w:rsidR="005C0F15" w:rsidRPr="00F67466">
        <w:rPr>
          <w:rFonts w:ascii="Arial" w:hAnsi="Arial" w:cs="Arial"/>
        </w:rPr>
        <w:t>rights</w:t>
      </w:r>
      <w:r w:rsidRPr="00F67466">
        <w:rPr>
          <w:rFonts w:ascii="Arial" w:hAnsi="Arial" w:cs="Arial"/>
        </w:rPr>
        <w:t xml:space="preserve"> of consumers </w:t>
      </w:r>
      <w:r w:rsidR="006272D0" w:rsidRPr="00F67466">
        <w:rPr>
          <w:rFonts w:ascii="Arial" w:hAnsi="Arial" w:cs="Arial"/>
        </w:rPr>
        <w:t>with disability</w:t>
      </w:r>
      <w:r w:rsidR="00FE11D5">
        <w:rPr>
          <w:rFonts w:ascii="Arial" w:hAnsi="Arial" w:cs="Arial"/>
        </w:rPr>
        <w:t>.</w:t>
      </w:r>
      <w:r w:rsidR="006272D0" w:rsidRPr="00F67466">
        <w:rPr>
          <w:rFonts w:ascii="Arial" w:hAnsi="Arial" w:cs="Arial"/>
        </w:rPr>
        <w:t xml:space="preserve"> </w:t>
      </w:r>
      <w:r w:rsidR="00FE11D5">
        <w:rPr>
          <w:rFonts w:ascii="Arial" w:hAnsi="Arial" w:cs="Arial"/>
        </w:rPr>
        <w:t>A</w:t>
      </w:r>
      <w:r w:rsidR="006272D0" w:rsidRPr="00F67466">
        <w:rPr>
          <w:rFonts w:ascii="Arial" w:hAnsi="Arial" w:cs="Arial"/>
        </w:rPr>
        <w:t>s such</w:t>
      </w:r>
      <w:r w:rsidR="00FE11D5">
        <w:rPr>
          <w:rFonts w:ascii="Arial" w:hAnsi="Arial" w:cs="Arial"/>
        </w:rPr>
        <w:t>,</w:t>
      </w:r>
      <w:r w:rsidR="006272D0" w:rsidRPr="00F67466">
        <w:rPr>
          <w:rFonts w:ascii="Arial" w:hAnsi="Arial" w:cs="Arial"/>
        </w:rPr>
        <w:t xml:space="preserve"> it was determined that a complimenting </w:t>
      </w:r>
      <w:r w:rsidR="00FE11D5">
        <w:rPr>
          <w:rFonts w:ascii="Arial" w:hAnsi="Arial" w:cs="Arial"/>
        </w:rPr>
        <w:t>‘Companion</w:t>
      </w:r>
      <w:r w:rsidR="006272D0" w:rsidRPr="00F67466">
        <w:rPr>
          <w:rFonts w:ascii="Arial" w:hAnsi="Arial" w:cs="Arial"/>
        </w:rPr>
        <w:t xml:space="preserve"> </w:t>
      </w:r>
      <w:r w:rsidR="00D2438A" w:rsidRPr="00F67466">
        <w:rPr>
          <w:rFonts w:ascii="Arial" w:hAnsi="Arial" w:cs="Arial"/>
        </w:rPr>
        <w:t>R</w:t>
      </w:r>
      <w:r w:rsidR="006272D0" w:rsidRPr="00F67466">
        <w:rPr>
          <w:rFonts w:ascii="Arial" w:hAnsi="Arial" w:cs="Arial"/>
        </w:rPr>
        <w:t>eport</w:t>
      </w:r>
      <w:r w:rsidR="00FE11D5">
        <w:rPr>
          <w:rFonts w:ascii="Arial" w:hAnsi="Arial" w:cs="Arial"/>
        </w:rPr>
        <w:t>’</w:t>
      </w:r>
      <w:r w:rsidR="006272D0" w:rsidRPr="00F67466">
        <w:rPr>
          <w:rFonts w:ascii="Arial" w:hAnsi="Arial" w:cs="Arial"/>
        </w:rPr>
        <w:t xml:space="preserve"> should be offered</w:t>
      </w:r>
      <w:r w:rsidR="003D1986" w:rsidRPr="00F67466">
        <w:rPr>
          <w:rFonts w:ascii="Arial" w:hAnsi="Arial" w:cs="Arial"/>
        </w:rPr>
        <w:t xml:space="preserve">. </w:t>
      </w:r>
    </w:p>
    <w:p w14:paraId="402E3D22" w14:textId="77777777" w:rsidR="00A95F3E" w:rsidRDefault="00E91604" w:rsidP="00A443F4">
      <w:pPr>
        <w:spacing w:line="240" w:lineRule="auto"/>
        <w:rPr>
          <w:rFonts w:ascii="Arial" w:hAnsi="Arial" w:cs="Arial"/>
        </w:rPr>
      </w:pPr>
      <w:r w:rsidRPr="00F67466">
        <w:rPr>
          <w:rFonts w:ascii="Arial" w:hAnsi="Arial" w:cs="Arial"/>
        </w:rPr>
        <w:t xml:space="preserve">This </w:t>
      </w:r>
      <w:r w:rsidR="00D2438A" w:rsidRPr="00F67466">
        <w:rPr>
          <w:rFonts w:ascii="Arial" w:hAnsi="Arial" w:cs="Arial"/>
        </w:rPr>
        <w:t>r</w:t>
      </w:r>
      <w:r w:rsidRPr="00F67466">
        <w:rPr>
          <w:rFonts w:ascii="Arial" w:hAnsi="Arial" w:cs="Arial"/>
        </w:rPr>
        <w:t>eport will cover the important processes prior to the commencement of the ‘Cancellations for All’ Main Report.</w:t>
      </w:r>
      <w:r w:rsidR="00DB645E">
        <w:rPr>
          <w:rFonts w:ascii="Arial" w:hAnsi="Arial" w:cs="Arial"/>
        </w:rPr>
        <w:t xml:space="preserve"> </w:t>
      </w:r>
      <w:r w:rsidR="001D7351">
        <w:rPr>
          <w:rFonts w:ascii="Arial" w:hAnsi="Arial" w:cs="Arial"/>
        </w:rPr>
        <w:t>W</w:t>
      </w:r>
      <w:r w:rsidR="001D7351" w:rsidRPr="001D7351">
        <w:rPr>
          <w:rFonts w:ascii="Arial" w:hAnsi="Arial" w:cs="Arial"/>
        </w:rPr>
        <w:t xml:space="preserve">e will be outlining the issues encountered when ordering and signing up for SIMs from various telecommunication providers. </w:t>
      </w:r>
    </w:p>
    <w:p w14:paraId="39B4946E" w14:textId="22C37A0E" w:rsidR="00E91604" w:rsidRPr="00F67466" w:rsidRDefault="001D7351" w:rsidP="00A443F4">
      <w:pPr>
        <w:spacing w:line="240" w:lineRule="auto"/>
        <w:rPr>
          <w:rFonts w:ascii="Arial" w:hAnsi="Arial" w:cs="Arial"/>
        </w:rPr>
      </w:pPr>
      <w:r w:rsidRPr="001D7351">
        <w:rPr>
          <w:rFonts w:ascii="Arial" w:hAnsi="Arial" w:cs="Arial"/>
        </w:rPr>
        <w:t>Overall, there were three common issues identified which remain prevalent in the industry. Firstly, the varying ID requirements, secondly, the invoicing protocols from some providers, and lastly, the difficulty in providing the correct and exact delivery address.</w:t>
      </w:r>
    </w:p>
    <w:p w14:paraId="2B3F63D2" w14:textId="715AECD1" w:rsidR="008868DA" w:rsidRPr="00F67466" w:rsidRDefault="007615AF" w:rsidP="00A443F4">
      <w:pPr>
        <w:spacing w:line="240" w:lineRule="auto"/>
        <w:rPr>
          <w:rFonts w:ascii="Arial" w:hAnsi="Arial" w:cs="Arial"/>
        </w:rPr>
      </w:pPr>
      <w:r w:rsidRPr="00F67466">
        <w:rPr>
          <w:rFonts w:ascii="Arial" w:hAnsi="Arial" w:cs="Arial"/>
        </w:rPr>
        <w:t>This report covers these three issues</w:t>
      </w:r>
      <w:r w:rsidR="00107DBB" w:rsidRPr="00F67466">
        <w:rPr>
          <w:rFonts w:ascii="Arial" w:hAnsi="Arial" w:cs="Arial"/>
        </w:rPr>
        <w:t xml:space="preserve"> and identifies space for improvement</w:t>
      </w:r>
      <w:r w:rsidR="00514FF8">
        <w:rPr>
          <w:rFonts w:ascii="Arial" w:hAnsi="Arial" w:cs="Arial"/>
        </w:rPr>
        <w:t>s</w:t>
      </w:r>
      <w:r w:rsidR="00107DBB" w:rsidRPr="00F67466">
        <w:rPr>
          <w:rFonts w:ascii="Arial" w:hAnsi="Arial" w:cs="Arial"/>
        </w:rPr>
        <w:t xml:space="preserve"> </w:t>
      </w:r>
      <w:r w:rsidR="00514FF8">
        <w:rPr>
          <w:rFonts w:ascii="Arial" w:hAnsi="Arial" w:cs="Arial"/>
        </w:rPr>
        <w:t xml:space="preserve">with regards to accessibility </w:t>
      </w:r>
      <w:r w:rsidR="00107DBB" w:rsidRPr="00F67466">
        <w:rPr>
          <w:rFonts w:ascii="Arial" w:hAnsi="Arial" w:cs="Arial"/>
        </w:rPr>
        <w:t>within the industry.</w:t>
      </w:r>
    </w:p>
    <w:p w14:paraId="7BCA7C77" w14:textId="77777777" w:rsidR="005055B4" w:rsidRPr="00D14A4F" w:rsidRDefault="005055B4" w:rsidP="00A443F4">
      <w:pPr>
        <w:spacing w:line="240" w:lineRule="auto"/>
        <w:rPr>
          <w:rFonts w:ascii="Arial" w:eastAsiaTheme="majorEastAsia" w:hAnsi="Arial" w:cs="Arial"/>
          <w:color w:val="0F4761" w:themeColor="accent1" w:themeShade="BF"/>
          <w:sz w:val="32"/>
          <w:szCs w:val="32"/>
        </w:rPr>
      </w:pPr>
      <w:bookmarkStart w:id="10" w:name="_Toc165121975"/>
      <w:r w:rsidRPr="00D14A4F">
        <w:rPr>
          <w:rFonts w:ascii="Arial" w:hAnsi="Arial" w:cs="Arial"/>
        </w:rPr>
        <w:br w:type="page"/>
      </w:r>
    </w:p>
    <w:p w14:paraId="0CC303D9" w14:textId="5C44177E" w:rsidR="008868DA" w:rsidRPr="001F61A9" w:rsidRDefault="008868DA" w:rsidP="00A443F4">
      <w:pPr>
        <w:pStyle w:val="Heading2"/>
        <w:spacing w:line="240" w:lineRule="auto"/>
        <w:rPr>
          <w:rFonts w:ascii="Arial" w:hAnsi="Arial" w:cs="Arial"/>
        </w:rPr>
      </w:pPr>
      <w:bookmarkStart w:id="11" w:name="_Toc178337662"/>
      <w:r w:rsidRPr="00D14A4F">
        <w:rPr>
          <w:rFonts w:ascii="Arial" w:hAnsi="Arial" w:cs="Arial"/>
        </w:rPr>
        <w:lastRenderedPageBreak/>
        <w:t xml:space="preserve">1.2 Why this project is </w:t>
      </w:r>
      <w:bookmarkEnd w:id="9"/>
      <w:bookmarkEnd w:id="10"/>
      <w:r w:rsidRPr="00D14A4F">
        <w:rPr>
          <w:rFonts w:ascii="Arial" w:hAnsi="Arial" w:cs="Arial"/>
        </w:rPr>
        <w:t>important</w:t>
      </w:r>
      <w:bookmarkEnd w:id="11"/>
      <w:r w:rsidRPr="00D14A4F">
        <w:rPr>
          <w:rFonts w:ascii="Arial" w:hAnsi="Arial" w:cs="Arial"/>
        </w:rPr>
        <w:t xml:space="preserve"> </w:t>
      </w:r>
    </w:p>
    <w:p w14:paraId="30774D23" w14:textId="3B462081" w:rsidR="008868DA" w:rsidRPr="002B5273" w:rsidRDefault="008868DA" w:rsidP="00A443F4">
      <w:pPr>
        <w:spacing w:after="0" w:line="240" w:lineRule="auto"/>
        <w:rPr>
          <w:rFonts w:ascii="Arial" w:eastAsia="Times New Roman" w:hAnsi="Arial" w:cs="Arial"/>
          <w:kern w:val="0"/>
          <w:lang w:eastAsia="en-GB"/>
          <w14:ligatures w14:val="none"/>
        </w:rPr>
      </w:pPr>
      <w:r w:rsidRPr="002B5273">
        <w:rPr>
          <w:rFonts w:ascii="Arial" w:eastAsia="Times New Roman" w:hAnsi="Arial" w:cs="Arial"/>
          <w:kern w:val="0"/>
          <w:lang w:eastAsia="en-GB"/>
          <w14:ligatures w14:val="none"/>
        </w:rPr>
        <w:t xml:space="preserve">This ‘Cancellations for All’ project investigates how to improve the accessibility of mobile phone plan cancellations for the around </w:t>
      </w:r>
      <w:hyperlink r:id="rId13" w:history="1">
        <w:r w:rsidRPr="002B5273">
          <w:rPr>
            <w:rFonts w:ascii="Arial" w:eastAsia="Times New Roman" w:hAnsi="Arial" w:cs="Arial"/>
            <w:kern w:val="0"/>
            <w:u w:val="single"/>
            <w:lang w:eastAsia="en-GB"/>
            <w14:ligatures w14:val="none"/>
          </w:rPr>
          <w:t>4.4 million people in Australia with some form of permanent disability</w:t>
        </w:r>
      </w:hyperlink>
      <w:r w:rsidRPr="002B5273">
        <w:rPr>
          <w:rFonts w:ascii="Arial" w:eastAsia="Times New Roman" w:hAnsi="Arial" w:cs="Arial"/>
          <w:kern w:val="0"/>
          <w:lang w:eastAsia="en-GB"/>
          <w14:ligatures w14:val="none"/>
        </w:rPr>
        <w:t xml:space="preserve"> as reported by the Australian Institute of Health and Welfare (AIHW). </w:t>
      </w:r>
    </w:p>
    <w:p w14:paraId="6BD6FF1F" w14:textId="77777777" w:rsidR="008868DA" w:rsidRPr="002B5273" w:rsidRDefault="008868DA" w:rsidP="00A443F4">
      <w:pPr>
        <w:spacing w:after="0" w:line="240" w:lineRule="auto"/>
        <w:rPr>
          <w:rFonts w:ascii="Arial" w:eastAsia="Times New Roman" w:hAnsi="Arial" w:cs="Arial"/>
          <w:kern w:val="0"/>
          <w:lang w:eastAsia="en-GB"/>
          <w14:ligatures w14:val="none"/>
        </w:rPr>
      </w:pPr>
    </w:p>
    <w:p w14:paraId="4F3F5DB3" w14:textId="07D1450B" w:rsidR="00DB2631" w:rsidRPr="002B5273" w:rsidRDefault="008868DA" w:rsidP="00A443F4">
      <w:pPr>
        <w:spacing w:after="0" w:line="240" w:lineRule="auto"/>
        <w:rPr>
          <w:rFonts w:ascii="Arial" w:eastAsia="Times New Roman" w:hAnsi="Arial" w:cs="Arial"/>
          <w:kern w:val="0"/>
          <w:lang w:eastAsia="en-GB"/>
          <w14:ligatures w14:val="none"/>
        </w:rPr>
      </w:pPr>
      <w:r w:rsidRPr="002B5273">
        <w:rPr>
          <w:rFonts w:ascii="Arial" w:eastAsia="Times New Roman" w:hAnsi="Arial" w:cs="Arial"/>
          <w:kern w:val="0"/>
          <w:lang w:eastAsia="en-GB"/>
          <w14:ligatures w14:val="none"/>
        </w:rPr>
        <w:t xml:space="preserve">In relation to digital access, the Australian Bureau of Statistics (ABS) </w:t>
      </w:r>
      <w:hyperlink r:id="rId14" w:anchor=":~:text=Back%20to%20top-,Key%20statistics,did%20not%20use%20the%20Internet" w:history="1">
        <w:r w:rsidRPr="002B5273">
          <w:rPr>
            <w:rFonts w:ascii="Arial" w:eastAsia="Times New Roman" w:hAnsi="Arial" w:cs="Arial"/>
            <w:kern w:val="0"/>
            <w:u w:val="single"/>
            <w:lang w:eastAsia="en-GB"/>
            <w14:ligatures w14:val="none"/>
          </w:rPr>
          <w:t>confirmed in 2018 that 1.1 million people with disability (28.5%) did not use the internet</w:t>
        </w:r>
      </w:hyperlink>
      <w:r w:rsidRPr="002B5273">
        <w:rPr>
          <w:rFonts w:ascii="Arial" w:eastAsia="Times New Roman" w:hAnsi="Arial" w:cs="Arial"/>
          <w:kern w:val="0"/>
          <w:lang w:eastAsia="en-GB"/>
          <w14:ligatures w14:val="none"/>
        </w:rPr>
        <w:t xml:space="preserve">, which is largely due to individuals running into accessibility barriers. This compares with 12% of the </w:t>
      </w:r>
      <w:r w:rsidR="00B8487C" w:rsidRPr="002B5273">
        <w:rPr>
          <w:rFonts w:ascii="Arial" w:eastAsia="Times New Roman" w:hAnsi="Arial" w:cs="Arial"/>
          <w:kern w:val="0"/>
          <w:lang w:eastAsia="en-GB"/>
          <w14:ligatures w14:val="none"/>
        </w:rPr>
        <w:t>public</w:t>
      </w:r>
      <w:r w:rsidRPr="002B5273">
        <w:rPr>
          <w:rFonts w:ascii="Arial" w:eastAsia="Times New Roman" w:hAnsi="Arial" w:cs="Arial"/>
          <w:kern w:val="0"/>
          <w:lang w:eastAsia="en-GB"/>
          <w14:ligatures w14:val="none"/>
        </w:rPr>
        <w:t xml:space="preserve"> that do not participate online. In addition,</w:t>
      </w:r>
      <w:r w:rsidR="003000D1">
        <w:rPr>
          <w:rFonts w:ascii="Arial" w:eastAsia="Times New Roman" w:hAnsi="Arial" w:cs="Arial"/>
          <w:kern w:val="0"/>
          <w:lang w:eastAsia="en-GB"/>
          <w14:ligatures w14:val="none"/>
        </w:rPr>
        <w:t xml:space="preserve"> Australian Communications and </w:t>
      </w:r>
      <w:r w:rsidR="00D53B54">
        <w:rPr>
          <w:rFonts w:ascii="Arial" w:eastAsia="Times New Roman" w:hAnsi="Arial" w:cs="Arial"/>
          <w:kern w:val="0"/>
          <w:lang w:eastAsia="en-GB"/>
          <w14:ligatures w14:val="none"/>
        </w:rPr>
        <w:t>M</w:t>
      </w:r>
      <w:r w:rsidR="003000D1">
        <w:rPr>
          <w:rFonts w:ascii="Arial" w:eastAsia="Times New Roman" w:hAnsi="Arial" w:cs="Arial"/>
          <w:kern w:val="0"/>
          <w:lang w:eastAsia="en-GB"/>
          <w14:ligatures w14:val="none"/>
        </w:rPr>
        <w:t>edia Authority (</w:t>
      </w:r>
      <w:r w:rsidR="00C33919">
        <w:rPr>
          <w:rFonts w:ascii="Arial" w:eastAsia="Times New Roman" w:hAnsi="Arial" w:cs="Arial"/>
          <w:kern w:val="0"/>
          <w:lang w:eastAsia="en-GB"/>
          <w14:ligatures w14:val="none"/>
        </w:rPr>
        <w:t>ACMA</w:t>
      </w:r>
      <w:r w:rsidR="003000D1">
        <w:rPr>
          <w:rFonts w:ascii="Arial" w:eastAsia="Times New Roman" w:hAnsi="Arial" w:cs="Arial"/>
          <w:kern w:val="0"/>
          <w:lang w:eastAsia="en-GB"/>
          <w14:ligatures w14:val="none"/>
        </w:rPr>
        <w:t>)</w:t>
      </w:r>
      <w:r w:rsidR="00C33919">
        <w:rPr>
          <w:rFonts w:ascii="Arial" w:eastAsia="Times New Roman" w:hAnsi="Arial" w:cs="Arial"/>
          <w:kern w:val="0"/>
          <w:lang w:eastAsia="en-GB"/>
          <w14:ligatures w14:val="none"/>
        </w:rPr>
        <w:t xml:space="preserve"> data indicates that</w:t>
      </w:r>
      <w:r w:rsidR="00121867" w:rsidRPr="00121867">
        <w:t xml:space="preserve"> </w:t>
      </w:r>
      <w:hyperlink r:id="rId15" w:anchor=":~:text=Almost%20all%20of%20us%20%2895%25%29%20used%20a%20mobile,internet%20in%202023%20compared%20to%20the%20year%20before." w:history="1">
        <w:r w:rsidR="00121867" w:rsidRPr="00EB3CCA">
          <w:rPr>
            <w:rStyle w:val="Hyperlink"/>
            <w:rFonts w:ascii="Arial" w:eastAsia="Times New Roman" w:hAnsi="Arial" w:cs="Arial"/>
            <w:kern w:val="0"/>
            <w:lang w:eastAsia="en-GB"/>
            <w14:ligatures w14:val="none"/>
          </w:rPr>
          <w:t>95% of Australians used a mobile to access the internet, 97% for voice calls and 96% for texting</w:t>
        </w:r>
        <w:r w:rsidR="00EB3CCA" w:rsidRPr="00EB3CCA">
          <w:rPr>
            <w:rStyle w:val="Hyperlink"/>
            <w:rFonts w:ascii="Arial" w:eastAsia="Times New Roman" w:hAnsi="Arial" w:cs="Arial"/>
            <w:kern w:val="0"/>
            <w:lang w:eastAsia="en-GB"/>
            <w14:ligatures w14:val="none"/>
          </w:rPr>
          <w:t xml:space="preserve"> as of 2023.</w:t>
        </w:r>
      </w:hyperlink>
      <w:r w:rsidRPr="002B5273">
        <w:rPr>
          <w:rFonts w:ascii="Arial" w:eastAsia="Times New Roman" w:hAnsi="Arial" w:cs="Arial"/>
          <w:kern w:val="0"/>
          <w:lang w:eastAsia="en-GB"/>
          <w14:ligatures w14:val="none"/>
        </w:rPr>
        <w:t xml:space="preserve"> This is especially important to this project as any digital access issues are likely to have a large impact on people with disability in a world that’s increasingly reliant on the use of a mobile phone. </w:t>
      </w:r>
    </w:p>
    <w:p w14:paraId="4203DABD" w14:textId="77777777" w:rsidR="00DB2631" w:rsidRPr="002B5273" w:rsidRDefault="00DB2631" w:rsidP="00A443F4">
      <w:pPr>
        <w:spacing w:after="0" w:line="240" w:lineRule="auto"/>
        <w:rPr>
          <w:rFonts w:ascii="Arial" w:eastAsia="Times New Roman" w:hAnsi="Arial" w:cs="Arial"/>
          <w:kern w:val="0"/>
          <w:lang w:eastAsia="en-GB"/>
          <w14:ligatures w14:val="none"/>
        </w:rPr>
      </w:pPr>
    </w:p>
    <w:p w14:paraId="154CCD23" w14:textId="77777777" w:rsidR="00DB2631" w:rsidRPr="002B5273" w:rsidRDefault="00DB2631" w:rsidP="00A443F4">
      <w:pPr>
        <w:spacing w:after="0" w:line="240" w:lineRule="auto"/>
        <w:rPr>
          <w:rFonts w:ascii="Arial" w:eastAsia="Times New Roman" w:hAnsi="Arial" w:cs="Arial"/>
          <w:kern w:val="0"/>
          <w:lang w:eastAsia="en-GB"/>
          <w14:ligatures w14:val="none"/>
        </w:rPr>
      </w:pPr>
      <w:r w:rsidRPr="002B5273">
        <w:rPr>
          <w:rFonts w:ascii="Arial" w:eastAsia="Times New Roman" w:hAnsi="Arial" w:cs="Arial"/>
          <w:kern w:val="0"/>
          <w:lang w:eastAsia="en-GB"/>
          <w14:ligatures w14:val="none"/>
        </w:rPr>
        <w:t xml:space="preserve">People with disability are willing to embrace the advantages independent access to online content provides if accessibility restrictions are removed, according to research on the disability gap conducted by </w:t>
      </w:r>
      <w:hyperlink r:id="rId16" w:history="1">
        <w:r w:rsidRPr="002B5273">
          <w:rPr>
            <w:rStyle w:val="Hyperlink"/>
            <w:rFonts w:ascii="Arial" w:eastAsia="Times New Roman" w:hAnsi="Arial" w:cs="Arial"/>
            <w:color w:val="auto"/>
            <w:kern w:val="0"/>
            <w:lang w:eastAsia="en-GB"/>
            <w14:ligatures w14:val="none"/>
          </w:rPr>
          <w:t>Hollier (2006)</w:t>
        </w:r>
      </w:hyperlink>
      <w:r w:rsidRPr="002B5273">
        <w:rPr>
          <w:rFonts w:ascii="Arial" w:eastAsia="Times New Roman" w:hAnsi="Arial" w:cs="Arial"/>
          <w:kern w:val="0"/>
          <w:lang w:eastAsia="en-GB"/>
          <w14:ligatures w14:val="none"/>
        </w:rPr>
        <w:t xml:space="preserve"> and </w:t>
      </w:r>
      <w:hyperlink r:id="rId17" w:history="1">
        <w:r w:rsidRPr="002B5273">
          <w:rPr>
            <w:rStyle w:val="Hyperlink"/>
            <w:rFonts w:ascii="Arial" w:eastAsia="Times New Roman" w:hAnsi="Arial" w:cs="Arial"/>
            <w:color w:val="auto"/>
            <w:kern w:val="0"/>
            <w:lang w:eastAsia="en-GB"/>
            <w14:ligatures w14:val="none"/>
          </w:rPr>
          <w:t>Conway (2014)</w:t>
        </w:r>
      </w:hyperlink>
      <w:r w:rsidRPr="002B5273">
        <w:rPr>
          <w:rFonts w:ascii="Arial" w:eastAsia="Times New Roman" w:hAnsi="Arial" w:cs="Arial"/>
          <w:kern w:val="0"/>
          <w:lang w:eastAsia="en-GB"/>
          <w14:ligatures w14:val="none"/>
        </w:rPr>
        <w:t xml:space="preserve">. </w:t>
      </w:r>
      <w:hyperlink r:id="rId18" w:history="1">
        <w:r w:rsidRPr="002B5273">
          <w:rPr>
            <w:rFonts w:ascii="Arial" w:eastAsia="Times New Roman" w:hAnsi="Arial" w:cs="Arial"/>
            <w:kern w:val="0"/>
            <w:u w:val="single"/>
            <w:lang w:eastAsia="en-GB"/>
            <w14:ligatures w14:val="none"/>
          </w:rPr>
          <w:t>Sir Tim Berners-Lee</w:t>
        </w:r>
      </w:hyperlink>
      <w:r w:rsidRPr="002B5273">
        <w:rPr>
          <w:rFonts w:ascii="Arial" w:eastAsia="Times New Roman" w:hAnsi="Arial" w:cs="Arial"/>
          <w:kern w:val="0"/>
          <w:lang w:eastAsia="en-GB"/>
          <w14:ligatures w14:val="none"/>
        </w:rPr>
        <w:t xml:space="preserve">, inventor of the World Wide Web, </w:t>
      </w:r>
      <w:hyperlink r:id="rId19" w:history="1">
        <w:r w:rsidRPr="002B5273">
          <w:rPr>
            <w:rFonts w:ascii="Arial" w:eastAsia="Times New Roman" w:hAnsi="Arial" w:cs="Arial"/>
            <w:kern w:val="0"/>
            <w:u w:val="single"/>
            <w:lang w:eastAsia="en-GB"/>
            <w14:ligatures w14:val="none"/>
          </w:rPr>
          <w:t>described the importance of web accessibility</w:t>
        </w:r>
      </w:hyperlink>
      <w:r w:rsidRPr="002B5273">
        <w:rPr>
          <w:rFonts w:ascii="Arial" w:eastAsia="Times New Roman" w:hAnsi="Arial" w:cs="Arial"/>
          <w:kern w:val="0"/>
          <w:lang w:eastAsia="en-GB"/>
          <w14:ligatures w14:val="none"/>
        </w:rPr>
        <w:t xml:space="preserve">, in these terms: </w:t>
      </w:r>
    </w:p>
    <w:p w14:paraId="3E66827E" w14:textId="77777777" w:rsidR="00DB2631" w:rsidRPr="00F67466" w:rsidRDefault="00DB2631" w:rsidP="00A443F4">
      <w:pPr>
        <w:spacing w:after="0" w:line="240" w:lineRule="auto"/>
        <w:rPr>
          <w:rFonts w:ascii="Arial" w:eastAsia="Times New Roman" w:hAnsi="Arial" w:cs="Arial"/>
          <w:kern w:val="0"/>
          <w:lang w:eastAsia="en-GB"/>
          <w14:ligatures w14:val="none"/>
        </w:rPr>
      </w:pPr>
    </w:p>
    <w:p w14:paraId="0AF5DDDB" w14:textId="03DEDCDC" w:rsidR="00DB2631" w:rsidRDefault="00DB2631" w:rsidP="00A443F4">
      <w:pPr>
        <w:spacing w:after="0" w:line="240" w:lineRule="auto"/>
        <w:rPr>
          <w:rFonts w:ascii="Arial" w:eastAsia="Times New Roman" w:hAnsi="Arial" w:cs="Arial"/>
          <w:kern w:val="0"/>
          <w:lang w:eastAsia="en-GB"/>
          <w14:ligatures w14:val="none"/>
        </w:rPr>
      </w:pPr>
      <w:r w:rsidRPr="00F67466">
        <w:rPr>
          <w:rFonts w:ascii="Arial" w:eastAsia="Times New Roman" w:hAnsi="Arial" w:cs="Arial"/>
          <w:kern w:val="0"/>
          <w:lang w:eastAsia="en-GB"/>
          <w14:ligatures w14:val="none"/>
        </w:rPr>
        <w:t xml:space="preserve">“The power of the Web is in its universality. Access by everyone regardless of disability is an essential aspect.” In essence, Disability + Technology = Independence.” </w:t>
      </w:r>
    </w:p>
    <w:p w14:paraId="00FE23AD" w14:textId="43C4B258" w:rsidR="007C041D" w:rsidRDefault="007C041D" w:rsidP="00A443F4">
      <w:pPr>
        <w:spacing w:after="0" w:line="240" w:lineRule="auto"/>
        <w:rPr>
          <w:rFonts w:ascii="Arial" w:eastAsia="Times New Roman" w:hAnsi="Arial" w:cs="Arial"/>
          <w:kern w:val="0"/>
          <w:lang w:eastAsia="en-GB"/>
          <w14:ligatures w14:val="none"/>
        </w:rPr>
      </w:pPr>
    </w:p>
    <w:p w14:paraId="4BA644F0" w14:textId="77777777" w:rsidR="00032B0C" w:rsidRDefault="00032B0C" w:rsidP="00A443F4">
      <w:pPr>
        <w:spacing w:after="0" w:line="240" w:lineRule="auto"/>
        <w:rPr>
          <w:rFonts w:ascii="Arial" w:eastAsia="Times New Roman" w:hAnsi="Arial" w:cs="Arial"/>
          <w:kern w:val="0"/>
          <w:lang w:eastAsia="en-GB"/>
          <w14:ligatures w14:val="none"/>
        </w:rPr>
      </w:pPr>
    </w:p>
    <w:p w14:paraId="5F327851" w14:textId="290A6C2B" w:rsidR="00D27EA1" w:rsidRDefault="00E51EB7" w:rsidP="00A443F4">
      <w:pPr>
        <w:spacing w:line="240" w:lineRule="auto"/>
        <w:rPr>
          <w:rFonts w:ascii="Arial" w:eastAsia="Times New Roman" w:hAnsi="Arial" w:cs="Arial"/>
          <w:lang w:val="en-GB" w:eastAsia="en-GB"/>
        </w:rPr>
      </w:pPr>
      <w:r w:rsidRPr="52B41ECF">
        <w:rPr>
          <w:rFonts w:ascii="Arial" w:eastAsia="Times New Roman" w:hAnsi="Arial" w:cs="Arial"/>
          <w:lang w:val="en-GB" w:eastAsia="en-GB"/>
        </w:rPr>
        <w:t xml:space="preserve">In a </w:t>
      </w:r>
      <w:r w:rsidR="00D27EA1" w:rsidRPr="52B41ECF">
        <w:rPr>
          <w:rFonts w:ascii="Arial" w:eastAsia="Times New Roman" w:hAnsi="Arial" w:cs="Arial"/>
          <w:lang w:val="en-GB" w:eastAsia="en-GB"/>
        </w:rPr>
        <w:t>digital-first world where</w:t>
      </w:r>
      <w:r w:rsidR="008868B9" w:rsidRPr="52B41ECF">
        <w:rPr>
          <w:rFonts w:ascii="Arial" w:eastAsia="Times New Roman" w:hAnsi="Arial" w:cs="Arial"/>
          <w:lang w:val="en-GB" w:eastAsia="en-GB"/>
        </w:rPr>
        <w:t xml:space="preserve"> </w:t>
      </w:r>
      <w:r w:rsidR="00A71EF5" w:rsidRPr="52B41ECF">
        <w:rPr>
          <w:rFonts w:ascii="Arial" w:eastAsia="Times New Roman" w:hAnsi="Arial" w:cs="Arial"/>
          <w:lang w:val="en-GB" w:eastAsia="en-GB"/>
        </w:rPr>
        <w:t xml:space="preserve">state and federal governments </w:t>
      </w:r>
      <w:r w:rsidR="00D27EA1" w:rsidRPr="52B41ECF">
        <w:rPr>
          <w:rFonts w:ascii="Arial" w:eastAsia="Times New Roman" w:hAnsi="Arial" w:cs="Arial"/>
          <w:lang w:val="en-GB" w:eastAsia="en-GB"/>
        </w:rPr>
        <w:t xml:space="preserve">are </w:t>
      </w:r>
      <w:hyperlink r:id="rId20" w:history="1">
        <w:r w:rsidR="00D27EA1" w:rsidRPr="52B41ECF">
          <w:rPr>
            <w:rStyle w:val="Hyperlink"/>
            <w:rFonts w:ascii="Arial" w:eastAsia="Times New Roman" w:hAnsi="Arial" w:cs="Arial"/>
            <w:lang w:val="en-GB" w:eastAsia="en-GB"/>
          </w:rPr>
          <w:t>transforming and digitising their interactions with the public</w:t>
        </w:r>
      </w:hyperlink>
      <w:r w:rsidR="00D27EA1" w:rsidRPr="52B41ECF">
        <w:rPr>
          <w:rFonts w:ascii="Arial" w:eastAsia="Times New Roman" w:hAnsi="Arial" w:cs="Arial"/>
          <w:lang w:val="en-GB" w:eastAsia="en-GB"/>
        </w:rPr>
        <w:t>, ensuring independence and access for people with disability</w:t>
      </w:r>
      <w:r w:rsidR="00C80D44" w:rsidRPr="52B41ECF">
        <w:rPr>
          <w:rFonts w:ascii="Arial" w:eastAsia="Times New Roman" w:hAnsi="Arial" w:cs="Arial"/>
          <w:lang w:val="en-GB" w:eastAsia="en-GB"/>
        </w:rPr>
        <w:t xml:space="preserve"> to mobile communications</w:t>
      </w:r>
      <w:r w:rsidR="00D27EA1" w:rsidRPr="52B41ECF">
        <w:rPr>
          <w:rFonts w:ascii="Arial" w:eastAsia="Times New Roman" w:hAnsi="Arial" w:cs="Arial"/>
          <w:lang w:val="en-GB" w:eastAsia="en-GB"/>
        </w:rPr>
        <w:t xml:space="preserve"> is more important than ever. </w:t>
      </w:r>
      <w:r w:rsidR="002E0480" w:rsidRPr="52B41ECF">
        <w:rPr>
          <w:rFonts w:ascii="Arial" w:eastAsia="Times New Roman" w:hAnsi="Arial" w:cs="Arial"/>
          <w:lang w:val="en-GB" w:eastAsia="en-GB"/>
        </w:rPr>
        <w:t xml:space="preserve"> </w:t>
      </w:r>
      <w:r w:rsidR="00EC0D24">
        <w:rPr>
          <w:rFonts w:ascii="Arial" w:eastAsia="Times New Roman" w:hAnsi="Arial" w:cs="Arial"/>
          <w:lang w:val="en-GB" w:eastAsia="en-GB"/>
        </w:rPr>
        <w:t xml:space="preserve">The original report unpacks the </w:t>
      </w:r>
      <w:r w:rsidR="000F1719">
        <w:rPr>
          <w:rFonts w:ascii="Arial" w:eastAsia="Times New Roman" w:hAnsi="Arial" w:cs="Arial"/>
          <w:lang w:val="en-GB" w:eastAsia="en-GB"/>
        </w:rPr>
        <w:t xml:space="preserve">overall </w:t>
      </w:r>
      <w:r w:rsidR="00EC0D24">
        <w:rPr>
          <w:rFonts w:ascii="Arial" w:eastAsia="Times New Roman" w:hAnsi="Arial" w:cs="Arial"/>
          <w:lang w:val="en-GB" w:eastAsia="en-GB"/>
        </w:rPr>
        <w:t>accessibility of provide</w:t>
      </w:r>
      <w:r w:rsidR="000F1719">
        <w:rPr>
          <w:rFonts w:ascii="Arial" w:eastAsia="Times New Roman" w:hAnsi="Arial" w:cs="Arial"/>
          <w:lang w:val="en-GB" w:eastAsia="en-GB"/>
        </w:rPr>
        <w:t xml:space="preserve">rs purchase &amp; cancellation processes in detail. </w:t>
      </w:r>
      <w:r w:rsidR="0FDCC775" w:rsidRPr="52B41ECF">
        <w:rPr>
          <w:rFonts w:ascii="Arial" w:eastAsia="Times New Roman" w:hAnsi="Arial" w:cs="Arial"/>
          <w:lang w:val="en-GB" w:eastAsia="en-GB"/>
        </w:rPr>
        <w:t xml:space="preserve">The specific additional items unpacked in this </w:t>
      </w:r>
      <w:r w:rsidR="108EF691" w:rsidRPr="52B41ECF">
        <w:rPr>
          <w:rFonts w:ascii="Arial" w:eastAsia="Times New Roman" w:hAnsi="Arial" w:cs="Arial"/>
          <w:lang w:val="en-GB" w:eastAsia="en-GB"/>
        </w:rPr>
        <w:t xml:space="preserve">companion </w:t>
      </w:r>
      <w:r w:rsidR="0FDCC775" w:rsidRPr="52B41ECF">
        <w:rPr>
          <w:rFonts w:ascii="Arial" w:eastAsia="Times New Roman" w:hAnsi="Arial" w:cs="Arial"/>
          <w:lang w:val="en-GB" w:eastAsia="en-GB"/>
        </w:rPr>
        <w:t xml:space="preserve">report </w:t>
      </w:r>
      <w:r w:rsidR="68CBE1FA" w:rsidRPr="52B41ECF">
        <w:rPr>
          <w:rFonts w:ascii="Arial" w:eastAsia="Times New Roman" w:hAnsi="Arial" w:cs="Arial"/>
          <w:lang w:val="en-GB" w:eastAsia="en-GB"/>
        </w:rPr>
        <w:t>are ‘easy wins’ for the sector</w:t>
      </w:r>
      <w:r w:rsidR="74B46DF1" w:rsidRPr="52B41ECF">
        <w:rPr>
          <w:rFonts w:ascii="Arial" w:eastAsia="Times New Roman" w:hAnsi="Arial" w:cs="Arial"/>
          <w:lang w:val="en-GB" w:eastAsia="en-GB"/>
        </w:rPr>
        <w:t xml:space="preserve"> and consumers</w:t>
      </w:r>
      <w:r w:rsidR="68CBE1FA" w:rsidRPr="52B41ECF">
        <w:rPr>
          <w:rFonts w:ascii="Arial" w:eastAsia="Times New Roman" w:hAnsi="Arial" w:cs="Arial"/>
          <w:lang w:val="en-GB" w:eastAsia="en-GB"/>
        </w:rPr>
        <w:t xml:space="preserve">. </w:t>
      </w:r>
      <w:r w:rsidR="5AED3E87" w:rsidRPr="52B41ECF">
        <w:rPr>
          <w:rFonts w:ascii="Arial" w:eastAsia="Times New Roman" w:hAnsi="Arial" w:cs="Arial"/>
          <w:lang w:val="en-GB" w:eastAsia="en-GB"/>
        </w:rPr>
        <w:t xml:space="preserve">This includes </w:t>
      </w:r>
      <w:r w:rsidR="6D9BCA3E" w:rsidRPr="52B41ECF">
        <w:rPr>
          <w:rFonts w:ascii="Arial" w:eastAsia="Times New Roman" w:hAnsi="Arial" w:cs="Arial"/>
          <w:lang w:val="en-GB" w:eastAsia="en-GB"/>
        </w:rPr>
        <w:t>e</w:t>
      </w:r>
      <w:r w:rsidR="68CBE1FA" w:rsidRPr="52B41ECF">
        <w:rPr>
          <w:rFonts w:ascii="Arial" w:eastAsia="Times New Roman" w:hAnsi="Arial" w:cs="Arial"/>
          <w:lang w:val="en-GB" w:eastAsia="en-GB"/>
        </w:rPr>
        <w:t>nsuring</w:t>
      </w:r>
      <w:r w:rsidR="007A47E6">
        <w:rPr>
          <w:rFonts w:ascii="Arial" w:eastAsia="Times New Roman" w:hAnsi="Arial" w:cs="Arial"/>
          <w:lang w:val="en-GB" w:eastAsia="en-GB"/>
        </w:rPr>
        <w:t xml:space="preserve"> uniformly applied</w:t>
      </w:r>
      <w:r w:rsidR="009901F2" w:rsidRPr="52B41ECF">
        <w:rPr>
          <w:rFonts w:ascii="Arial" w:eastAsia="Times New Roman" w:hAnsi="Arial" w:cs="Arial"/>
          <w:lang w:val="en-GB" w:eastAsia="en-GB"/>
        </w:rPr>
        <w:t xml:space="preserve"> </w:t>
      </w:r>
      <w:r w:rsidR="09426529" w:rsidRPr="52B41ECF">
        <w:rPr>
          <w:rFonts w:ascii="Arial" w:eastAsia="Times New Roman" w:hAnsi="Arial" w:cs="Arial"/>
          <w:lang w:val="en-GB" w:eastAsia="en-GB"/>
        </w:rPr>
        <w:t>accessible</w:t>
      </w:r>
      <w:r w:rsidR="009901F2" w:rsidRPr="52B41ECF">
        <w:rPr>
          <w:rFonts w:ascii="Arial" w:eastAsia="Times New Roman" w:hAnsi="Arial" w:cs="Arial"/>
          <w:lang w:val="en-GB" w:eastAsia="en-GB"/>
        </w:rPr>
        <w:t xml:space="preserve"> identity requirements</w:t>
      </w:r>
      <w:r w:rsidR="0F850872" w:rsidRPr="52B41ECF">
        <w:rPr>
          <w:rFonts w:ascii="Arial" w:eastAsia="Times New Roman" w:hAnsi="Arial" w:cs="Arial"/>
          <w:lang w:val="en-GB" w:eastAsia="en-GB"/>
        </w:rPr>
        <w:t>,</w:t>
      </w:r>
      <w:r w:rsidR="009901F2" w:rsidRPr="52B41ECF">
        <w:rPr>
          <w:rFonts w:ascii="Arial" w:eastAsia="Times New Roman" w:hAnsi="Arial" w:cs="Arial"/>
          <w:lang w:val="en-GB" w:eastAsia="en-GB"/>
        </w:rPr>
        <w:t xml:space="preserve"> fairness in billing and activation processes</w:t>
      </w:r>
      <w:r w:rsidR="2A107D86" w:rsidRPr="52B41ECF">
        <w:rPr>
          <w:rFonts w:ascii="Arial" w:eastAsia="Times New Roman" w:hAnsi="Arial" w:cs="Arial"/>
          <w:lang w:val="en-GB" w:eastAsia="en-GB"/>
        </w:rPr>
        <w:t>, and flexibility in address fields enough to ensure products are delivered</w:t>
      </w:r>
      <w:r w:rsidR="0039688D" w:rsidRPr="52B41ECF">
        <w:rPr>
          <w:rFonts w:ascii="Arial" w:eastAsia="Times New Roman" w:hAnsi="Arial" w:cs="Arial"/>
          <w:lang w:val="en-GB" w:eastAsia="en-GB"/>
        </w:rPr>
        <w:t xml:space="preserve">. </w:t>
      </w:r>
    </w:p>
    <w:p w14:paraId="24F8732F" w14:textId="262BCC60" w:rsidR="008868DA" w:rsidRPr="00032B0C" w:rsidRDefault="00032B0C" w:rsidP="00A443F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Although</w:t>
      </w:r>
      <w:r w:rsidR="008868DA" w:rsidRPr="00032B0C">
        <w:rPr>
          <w:rFonts w:ascii="Arial" w:eastAsia="Times New Roman" w:hAnsi="Arial" w:cs="Arial"/>
          <w:kern w:val="0"/>
          <w:lang w:eastAsia="en-GB"/>
          <w14:ligatures w14:val="none"/>
        </w:rPr>
        <w:t xml:space="preserve"> legal compliance can be a motivator for making online services accessible, CFA Australia focuses more on advocating for the importance of digital </w:t>
      </w:r>
      <w:r w:rsidR="000F1719" w:rsidRPr="00032B0C">
        <w:rPr>
          <w:rFonts w:ascii="Arial" w:eastAsia="Times New Roman" w:hAnsi="Arial" w:cs="Arial"/>
          <w:kern w:val="0"/>
          <w:lang w:eastAsia="en-GB"/>
          <w14:ligatures w14:val="none"/>
        </w:rPr>
        <w:t>access, and</w:t>
      </w:r>
      <w:r w:rsidR="008868DA" w:rsidRPr="00032B0C">
        <w:rPr>
          <w:rFonts w:ascii="Arial" w:eastAsia="Times New Roman" w:hAnsi="Arial" w:cs="Arial"/>
          <w:kern w:val="0"/>
          <w:lang w:eastAsia="en-GB"/>
          <w14:ligatures w14:val="none"/>
        </w:rPr>
        <w:t xml:space="preserve"> providing support and education to organisations so they can understand the benefits accessible content can provide. </w:t>
      </w:r>
    </w:p>
    <w:p w14:paraId="6A67A937" w14:textId="77777777" w:rsidR="008868DA" w:rsidRPr="00032B0C" w:rsidRDefault="008868DA" w:rsidP="00A443F4">
      <w:pPr>
        <w:spacing w:after="0" w:line="240" w:lineRule="auto"/>
        <w:rPr>
          <w:rFonts w:ascii="Arial" w:eastAsia="Times New Roman" w:hAnsi="Arial" w:cs="Arial"/>
          <w:kern w:val="0"/>
          <w:lang w:eastAsia="en-GB"/>
          <w14:ligatures w14:val="none"/>
        </w:rPr>
      </w:pPr>
    </w:p>
    <w:p w14:paraId="5959B63A" w14:textId="06853272" w:rsidR="005825EB" w:rsidRPr="00032B0C" w:rsidRDefault="008868DA" w:rsidP="00A443F4">
      <w:pPr>
        <w:spacing w:after="0" w:line="240" w:lineRule="auto"/>
        <w:rPr>
          <w:rFonts w:ascii="Arial" w:eastAsia="Times New Roman" w:hAnsi="Arial" w:cs="Arial"/>
          <w:kern w:val="0"/>
          <w:lang w:eastAsia="en-GB"/>
          <w14:ligatures w14:val="none"/>
        </w:rPr>
      </w:pPr>
      <w:r w:rsidRPr="00032B0C">
        <w:rPr>
          <w:rFonts w:ascii="Arial" w:eastAsia="Times New Roman" w:hAnsi="Arial" w:cs="Arial"/>
          <w:kern w:val="0"/>
          <w:lang w:eastAsia="en-GB"/>
          <w14:ligatures w14:val="none"/>
        </w:rPr>
        <w:t xml:space="preserve">Additional information on the ways in which people with disability engage with online content can be found at the resource </w:t>
      </w:r>
      <w:hyperlink r:id="rId21" w:history="1">
        <w:r w:rsidRPr="00032B0C">
          <w:rPr>
            <w:rFonts w:ascii="Arial" w:eastAsia="Times New Roman" w:hAnsi="Arial" w:cs="Arial"/>
            <w:kern w:val="0"/>
            <w:u w:val="single"/>
            <w:lang w:eastAsia="en-GB"/>
            <w14:ligatures w14:val="none"/>
          </w:rPr>
          <w:t>How People with Disabilities Use the Web</w:t>
        </w:r>
      </w:hyperlink>
      <w:r w:rsidRPr="00032B0C">
        <w:rPr>
          <w:rFonts w:ascii="Arial" w:eastAsia="Times New Roman" w:hAnsi="Arial" w:cs="Arial"/>
          <w:kern w:val="0"/>
          <w:lang w:eastAsia="en-GB"/>
          <w14:ligatures w14:val="none"/>
        </w:rPr>
        <w:t xml:space="preserve"> produced by the World Wide Web Consortium (W3C). </w:t>
      </w:r>
      <w:r w:rsidR="005825EB" w:rsidRPr="00D14A4F">
        <w:rPr>
          <w:rFonts w:ascii="Arial" w:hAnsi="Arial" w:cs="Arial"/>
        </w:rPr>
        <w:br w:type="page"/>
      </w:r>
    </w:p>
    <w:p w14:paraId="09EED21F" w14:textId="4B2D56C5" w:rsidR="005055B4" w:rsidRPr="00D14A4F" w:rsidRDefault="00EA59AF" w:rsidP="00A443F4">
      <w:pPr>
        <w:pStyle w:val="Heading1"/>
        <w:numPr>
          <w:ilvl w:val="0"/>
          <w:numId w:val="18"/>
        </w:numPr>
        <w:spacing w:line="240" w:lineRule="auto"/>
        <w:rPr>
          <w:rFonts w:ascii="Arial" w:hAnsi="Arial" w:cs="Arial"/>
        </w:rPr>
      </w:pPr>
      <w:bookmarkStart w:id="12" w:name="_Toc178337663"/>
      <w:bookmarkStart w:id="13" w:name="_Toc165360874"/>
      <w:r w:rsidRPr="00D14A4F">
        <w:rPr>
          <w:rFonts w:ascii="Arial" w:hAnsi="Arial" w:cs="Arial"/>
        </w:rPr>
        <w:lastRenderedPageBreak/>
        <w:t>Consumer Issues Identified</w:t>
      </w:r>
      <w:bookmarkEnd w:id="12"/>
    </w:p>
    <w:p w14:paraId="2293ABC4" w14:textId="105263B4" w:rsidR="00F52A4D" w:rsidRPr="00D14A4F" w:rsidRDefault="002E2C33" w:rsidP="00A443F4">
      <w:pPr>
        <w:pStyle w:val="Heading2"/>
        <w:numPr>
          <w:ilvl w:val="1"/>
          <w:numId w:val="18"/>
        </w:numPr>
        <w:spacing w:line="240" w:lineRule="auto"/>
        <w:rPr>
          <w:rFonts w:ascii="Arial" w:hAnsi="Arial" w:cs="Arial"/>
        </w:rPr>
      </w:pPr>
      <w:bookmarkStart w:id="14" w:name="_Toc178337664"/>
      <w:r>
        <w:rPr>
          <w:rFonts w:ascii="Arial" w:hAnsi="Arial" w:cs="Arial"/>
        </w:rPr>
        <w:t>I</w:t>
      </w:r>
      <w:r w:rsidR="005055B4" w:rsidRPr="00D14A4F">
        <w:rPr>
          <w:rFonts w:ascii="Arial" w:hAnsi="Arial" w:cs="Arial"/>
        </w:rPr>
        <w:t>dentification requirements</w:t>
      </w:r>
      <w:bookmarkEnd w:id="14"/>
    </w:p>
    <w:p w14:paraId="25CD6981" w14:textId="087E5F44" w:rsidR="00996EC6" w:rsidRPr="00D14A4F" w:rsidRDefault="705AFF3A" w:rsidP="00A443F4">
      <w:pPr>
        <w:spacing w:line="240" w:lineRule="auto"/>
        <w:rPr>
          <w:rFonts w:ascii="Arial" w:hAnsi="Arial" w:cs="Arial"/>
        </w:rPr>
      </w:pPr>
      <w:r w:rsidRPr="3494C148">
        <w:rPr>
          <w:rFonts w:ascii="Arial" w:hAnsi="Arial" w:cs="Arial"/>
        </w:rPr>
        <w:t>T</w:t>
      </w:r>
      <w:r w:rsidR="00996EC6" w:rsidRPr="3494C148">
        <w:rPr>
          <w:rFonts w:ascii="Arial" w:hAnsi="Arial" w:cs="Arial"/>
        </w:rPr>
        <w:t xml:space="preserve">he </w:t>
      </w:r>
      <w:hyperlink r:id="rId22" w:history="1">
        <w:r w:rsidR="00617199" w:rsidRPr="001E4BA6">
          <w:rPr>
            <w:rStyle w:val="Hyperlink"/>
            <w:rFonts w:ascii="Arial" w:hAnsi="Arial" w:cs="Arial"/>
          </w:rPr>
          <w:t>Telecommunications Service Provider (Customer Identity Authentication) Determination 2022</w:t>
        </w:r>
      </w:hyperlink>
      <w:r w:rsidR="00996EC6" w:rsidRPr="3494C148">
        <w:rPr>
          <w:rFonts w:ascii="Arial" w:hAnsi="Arial" w:cs="Arial"/>
        </w:rPr>
        <w:t xml:space="preserve"> specifies that a carriage service provider is deemed to have verified a requesting individual as the customer only if the following conditions are met:</w:t>
      </w:r>
    </w:p>
    <w:p w14:paraId="5455538D" w14:textId="77777777" w:rsidR="00996EC6" w:rsidRPr="00D14A4F" w:rsidRDefault="00996EC6" w:rsidP="00A443F4">
      <w:pPr>
        <w:spacing w:line="240" w:lineRule="auto"/>
        <w:rPr>
          <w:rFonts w:ascii="Arial" w:hAnsi="Arial" w:cs="Arial"/>
        </w:rPr>
      </w:pPr>
      <w:r w:rsidRPr="00D14A4F">
        <w:rPr>
          <w:rFonts w:ascii="Arial" w:hAnsi="Arial" w:cs="Arial"/>
        </w:rPr>
        <w:t>1. The requesting individual provides:</w:t>
      </w:r>
    </w:p>
    <w:p w14:paraId="3582884C" w14:textId="77777777" w:rsidR="00A21782" w:rsidRPr="00D14A4F" w:rsidRDefault="00996EC6" w:rsidP="00A443F4">
      <w:pPr>
        <w:pStyle w:val="ListParagraph"/>
        <w:numPr>
          <w:ilvl w:val="0"/>
          <w:numId w:val="22"/>
        </w:numPr>
        <w:spacing w:line="240" w:lineRule="auto"/>
        <w:rPr>
          <w:rFonts w:ascii="Arial" w:hAnsi="Arial" w:cs="Arial"/>
        </w:rPr>
      </w:pPr>
      <w:r w:rsidRPr="00D14A4F">
        <w:rPr>
          <w:rFonts w:ascii="Arial" w:hAnsi="Arial" w:cs="Arial"/>
        </w:rPr>
        <w:t>The identifying numbers from at least two distinct government-issued documents.</w:t>
      </w:r>
    </w:p>
    <w:p w14:paraId="21B0CD52" w14:textId="77777777" w:rsidR="00A21782" w:rsidRPr="00D14A4F" w:rsidRDefault="00996EC6" w:rsidP="00A443F4">
      <w:pPr>
        <w:pStyle w:val="ListParagraph"/>
        <w:numPr>
          <w:ilvl w:val="0"/>
          <w:numId w:val="22"/>
        </w:numPr>
        <w:spacing w:line="240" w:lineRule="auto"/>
        <w:rPr>
          <w:rFonts w:ascii="Arial" w:hAnsi="Arial" w:cs="Arial"/>
        </w:rPr>
      </w:pPr>
      <w:r w:rsidRPr="00D14A4F">
        <w:rPr>
          <w:rFonts w:ascii="Arial" w:hAnsi="Arial" w:cs="Arial"/>
        </w:rPr>
        <w:t>Information identifying the State or Territory that issued these documents or confirmation that the documents were issued by the Commonwealth.</w:t>
      </w:r>
    </w:p>
    <w:p w14:paraId="71E961E9" w14:textId="5D68522C" w:rsidR="00996EC6" w:rsidRPr="00D14A4F" w:rsidRDefault="00996EC6" w:rsidP="00A443F4">
      <w:pPr>
        <w:pStyle w:val="ListParagraph"/>
        <w:numPr>
          <w:ilvl w:val="0"/>
          <w:numId w:val="22"/>
        </w:numPr>
        <w:spacing w:line="240" w:lineRule="auto"/>
        <w:rPr>
          <w:rFonts w:ascii="Arial" w:hAnsi="Arial" w:cs="Arial"/>
        </w:rPr>
      </w:pPr>
      <w:r w:rsidRPr="00D14A4F">
        <w:rPr>
          <w:rFonts w:ascii="Arial" w:hAnsi="Arial" w:cs="Arial"/>
        </w:rPr>
        <w:t>If required by the government online verification service, any dates or additional details recorded on the government documents.</w:t>
      </w:r>
    </w:p>
    <w:p w14:paraId="3284F484" w14:textId="230A7D20" w:rsidR="00996EC6" w:rsidRPr="00D14A4F" w:rsidRDefault="00996EC6" w:rsidP="00A443F4">
      <w:pPr>
        <w:spacing w:line="240" w:lineRule="auto"/>
        <w:rPr>
          <w:rFonts w:ascii="Arial" w:hAnsi="Arial" w:cs="Arial"/>
        </w:rPr>
      </w:pPr>
      <w:r w:rsidRPr="3494C148">
        <w:rPr>
          <w:rFonts w:ascii="Arial" w:hAnsi="Arial" w:cs="Arial"/>
        </w:rPr>
        <w:t xml:space="preserve">2. </w:t>
      </w:r>
      <w:r w:rsidR="002D5074">
        <w:rPr>
          <w:rFonts w:ascii="Arial" w:hAnsi="Arial" w:cs="Arial"/>
        </w:rPr>
        <w:t>T</w:t>
      </w:r>
      <w:r w:rsidR="002D5074" w:rsidRPr="002D5074">
        <w:rPr>
          <w:rFonts w:ascii="Arial" w:hAnsi="Arial" w:cs="Arial"/>
        </w:rPr>
        <w:t>he information given in relation to each of two government documents is verified on a government-accredited digital identity servic</w:t>
      </w:r>
      <w:r w:rsidR="002D5074">
        <w:rPr>
          <w:rFonts w:ascii="Arial" w:hAnsi="Arial" w:cs="Arial"/>
        </w:rPr>
        <w:t>e.</w:t>
      </w:r>
    </w:p>
    <w:p w14:paraId="2B2E7D09" w14:textId="5AE61E1A" w:rsidR="00996EC6" w:rsidRPr="00D14A4F" w:rsidRDefault="00996EC6" w:rsidP="00A443F4">
      <w:pPr>
        <w:spacing w:line="240" w:lineRule="auto"/>
        <w:rPr>
          <w:rFonts w:ascii="Arial" w:hAnsi="Arial" w:cs="Arial"/>
        </w:rPr>
      </w:pPr>
      <w:r w:rsidRPr="00D14A4F">
        <w:rPr>
          <w:rFonts w:ascii="Arial" w:hAnsi="Arial" w:cs="Arial"/>
        </w:rPr>
        <w:t>The verification process involves matching the information provided against the databases of the issuing agency, with the information being either accepted or rejected based on whether it matches.</w:t>
      </w:r>
    </w:p>
    <w:p w14:paraId="10B11AD3" w14:textId="0B8FB923" w:rsidR="000320A4" w:rsidRPr="00D14A4F" w:rsidRDefault="00996EC6" w:rsidP="00A443F4">
      <w:pPr>
        <w:spacing w:line="240" w:lineRule="auto"/>
        <w:rPr>
          <w:rFonts w:ascii="Arial" w:hAnsi="Arial" w:cs="Arial"/>
        </w:rPr>
      </w:pPr>
      <w:r w:rsidRPr="00D14A4F">
        <w:rPr>
          <w:rFonts w:ascii="Arial" w:hAnsi="Arial" w:cs="Arial"/>
        </w:rPr>
        <w:t xml:space="preserve">Additionally, ACMA provides </w:t>
      </w:r>
      <w:hyperlink r:id="rId23" w:history="1">
        <w:r w:rsidRPr="00D14A4F">
          <w:rPr>
            <w:rStyle w:val="Hyperlink"/>
            <w:rFonts w:ascii="Arial" w:hAnsi="Arial" w:cs="Arial"/>
          </w:rPr>
          <w:t>guidance on identity checks for prepaid mobile services</w:t>
        </w:r>
      </w:hyperlink>
      <w:r w:rsidRPr="00D14A4F">
        <w:rPr>
          <w:rFonts w:ascii="Arial" w:hAnsi="Arial" w:cs="Arial"/>
        </w:rPr>
        <w:t>.</w:t>
      </w:r>
    </w:p>
    <w:p w14:paraId="731F24D0" w14:textId="45BA527A" w:rsidR="00BD3535" w:rsidRPr="00D14A4F" w:rsidRDefault="00B35C12" w:rsidP="00A443F4">
      <w:pPr>
        <w:spacing w:line="240" w:lineRule="auto"/>
        <w:rPr>
          <w:rFonts w:ascii="Arial" w:hAnsi="Arial" w:cs="Arial"/>
        </w:rPr>
      </w:pPr>
      <w:r w:rsidRPr="00D14A4F">
        <w:rPr>
          <w:rFonts w:ascii="Arial" w:hAnsi="Arial" w:cs="Arial"/>
        </w:rPr>
        <w:t xml:space="preserve">Although there appears to be a very straightforward process set out for identification, the same was not </w:t>
      </w:r>
      <w:r w:rsidR="00C11764" w:rsidRPr="00D14A4F">
        <w:rPr>
          <w:rFonts w:ascii="Arial" w:hAnsi="Arial" w:cs="Arial"/>
        </w:rPr>
        <w:t>reflected</w:t>
      </w:r>
      <w:r w:rsidR="00D76789" w:rsidRPr="00D14A4F">
        <w:rPr>
          <w:rFonts w:ascii="Arial" w:hAnsi="Arial" w:cs="Arial"/>
        </w:rPr>
        <w:t xml:space="preserve"> </w:t>
      </w:r>
      <w:r w:rsidR="00744AF7" w:rsidRPr="00D14A4F">
        <w:rPr>
          <w:rFonts w:ascii="Arial" w:hAnsi="Arial" w:cs="Arial"/>
        </w:rPr>
        <w:t>when CFA Australia was</w:t>
      </w:r>
      <w:r w:rsidR="00C11764" w:rsidRPr="00D14A4F">
        <w:rPr>
          <w:rFonts w:ascii="Arial" w:hAnsi="Arial" w:cs="Arial"/>
        </w:rPr>
        <w:t xml:space="preserve"> registering</w:t>
      </w:r>
      <w:r w:rsidR="00D5705E" w:rsidRPr="00D14A4F">
        <w:rPr>
          <w:rFonts w:ascii="Arial" w:hAnsi="Arial" w:cs="Arial"/>
        </w:rPr>
        <w:t xml:space="preserve"> all 44</w:t>
      </w:r>
      <w:r w:rsidR="00795F1F" w:rsidRPr="00D14A4F">
        <w:rPr>
          <w:rFonts w:ascii="Arial" w:hAnsi="Arial" w:cs="Arial"/>
        </w:rPr>
        <w:t xml:space="preserve"> prepaid</w:t>
      </w:r>
      <w:r w:rsidR="00C11764" w:rsidRPr="00D14A4F">
        <w:rPr>
          <w:rFonts w:ascii="Arial" w:hAnsi="Arial" w:cs="Arial"/>
        </w:rPr>
        <w:t xml:space="preserve"> SIM card</w:t>
      </w:r>
      <w:r w:rsidR="00D5705E" w:rsidRPr="00D14A4F">
        <w:rPr>
          <w:rFonts w:ascii="Arial" w:hAnsi="Arial" w:cs="Arial"/>
        </w:rPr>
        <w:t>s</w:t>
      </w:r>
      <w:r w:rsidR="00D76789" w:rsidRPr="00D14A4F">
        <w:rPr>
          <w:rFonts w:ascii="Arial" w:hAnsi="Arial" w:cs="Arial"/>
        </w:rPr>
        <w:t>.</w:t>
      </w:r>
      <w:r w:rsidR="00E904DA" w:rsidRPr="00D14A4F">
        <w:rPr>
          <w:rFonts w:ascii="Arial" w:hAnsi="Arial" w:cs="Arial"/>
        </w:rPr>
        <w:t xml:space="preserve"> For example, </w:t>
      </w:r>
      <w:r w:rsidR="005C5A1A" w:rsidRPr="00D14A4F">
        <w:rPr>
          <w:rFonts w:ascii="Arial" w:hAnsi="Arial" w:cs="Arial"/>
        </w:rPr>
        <w:t>mobile service providers such as JB HIFI</w:t>
      </w:r>
      <w:r w:rsidR="00AB2D7E" w:rsidRPr="00D14A4F">
        <w:rPr>
          <w:rFonts w:ascii="Arial" w:hAnsi="Arial" w:cs="Arial"/>
        </w:rPr>
        <w:t>, Bendigo Telco</w:t>
      </w:r>
      <w:r w:rsidR="007E326E" w:rsidRPr="00D14A4F">
        <w:rPr>
          <w:rFonts w:ascii="Arial" w:hAnsi="Arial" w:cs="Arial"/>
        </w:rPr>
        <w:t xml:space="preserve"> and </w:t>
      </w:r>
      <w:r w:rsidR="00EC27C0" w:rsidRPr="00D14A4F">
        <w:rPr>
          <w:rFonts w:ascii="Arial" w:hAnsi="Arial" w:cs="Arial"/>
        </w:rPr>
        <w:t xml:space="preserve">Southern Phone allowed for </w:t>
      </w:r>
      <w:r w:rsidR="00715E41" w:rsidRPr="00D14A4F">
        <w:rPr>
          <w:rFonts w:ascii="Arial" w:hAnsi="Arial" w:cs="Arial"/>
        </w:rPr>
        <w:t xml:space="preserve">other photographic ID to be used instead of a passport. However, certain providers such as Aussie Broadband, Konec, </w:t>
      </w:r>
      <w:r w:rsidR="00BF5AE1" w:rsidRPr="00D14A4F">
        <w:rPr>
          <w:rFonts w:ascii="Arial" w:hAnsi="Arial" w:cs="Arial"/>
        </w:rPr>
        <w:t xml:space="preserve">and </w:t>
      </w:r>
      <w:r w:rsidR="00715E41" w:rsidRPr="00D14A4F">
        <w:rPr>
          <w:rFonts w:ascii="Arial" w:hAnsi="Arial" w:cs="Arial"/>
        </w:rPr>
        <w:t>Think Mobile remained strict with the passport requirement</w:t>
      </w:r>
      <w:r w:rsidR="00BF5AE1" w:rsidRPr="00D14A4F">
        <w:rPr>
          <w:rFonts w:ascii="Arial" w:hAnsi="Arial" w:cs="Arial"/>
        </w:rPr>
        <w:t>.</w:t>
      </w:r>
      <w:r w:rsidR="002E4AD6" w:rsidRPr="00D14A4F">
        <w:rPr>
          <w:rFonts w:ascii="Arial" w:hAnsi="Arial" w:cs="Arial"/>
        </w:rPr>
        <w:t xml:space="preserve"> There were also other providers that required almost no form of identification</w:t>
      </w:r>
      <w:r w:rsidR="0071292A">
        <w:rPr>
          <w:rFonts w:ascii="Arial" w:hAnsi="Arial" w:cs="Arial"/>
        </w:rPr>
        <w:t>,</w:t>
      </w:r>
      <w:r w:rsidR="002E4AD6" w:rsidRPr="00D14A4F">
        <w:rPr>
          <w:rFonts w:ascii="Arial" w:hAnsi="Arial" w:cs="Arial"/>
        </w:rPr>
        <w:t xml:space="preserve"> such as Felix.</w:t>
      </w:r>
    </w:p>
    <w:p w14:paraId="2E8692ED" w14:textId="45CE98D4" w:rsidR="00D14A4F" w:rsidRPr="00D14A4F" w:rsidRDefault="00D14A4F" w:rsidP="00A443F4">
      <w:pPr>
        <w:spacing w:line="240" w:lineRule="auto"/>
        <w:rPr>
          <w:rFonts w:ascii="Arial" w:hAnsi="Arial" w:cs="Arial"/>
        </w:rPr>
      </w:pPr>
      <w:r w:rsidRPr="00D14A4F">
        <w:rPr>
          <w:rFonts w:ascii="Arial" w:hAnsi="Arial" w:cs="Arial"/>
        </w:rPr>
        <w:t xml:space="preserve">Several </w:t>
      </w:r>
      <w:r w:rsidR="00165EFD">
        <w:rPr>
          <w:rFonts w:ascii="Arial" w:hAnsi="Arial" w:cs="Arial"/>
        </w:rPr>
        <w:t>mobile service providers</w:t>
      </w:r>
      <w:r w:rsidRPr="00D14A4F">
        <w:rPr>
          <w:rFonts w:ascii="Arial" w:hAnsi="Arial" w:cs="Arial"/>
        </w:rPr>
        <w:t xml:space="preserve"> require a passport or driver’s license as proof of identification when placing an order. If an individual does not possess a driver's license or passport, alternative methods for verifying their identity are not specified on the websites. This information is only provided upon contacting customer service. For example, some companies state that they only accept passport and/or driver’s licence as a form of ID. However, when a call is made, </w:t>
      </w:r>
      <w:r w:rsidR="00B8487C" w:rsidRPr="00D14A4F">
        <w:rPr>
          <w:rFonts w:ascii="Arial" w:hAnsi="Arial" w:cs="Arial"/>
        </w:rPr>
        <w:t>often</w:t>
      </w:r>
      <w:r w:rsidRPr="00D14A4F">
        <w:rPr>
          <w:rFonts w:ascii="Arial" w:hAnsi="Arial" w:cs="Arial"/>
        </w:rPr>
        <w:t xml:space="preserve"> they would accept a Medicare card alongside additional proof of ID such as a utility bill.</w:t>
      </w:r>
    </w:p>
    <w:p w14:paraId="7BBF52F4" w14:textId="77777777" w:rsidR="00D14A4F" w:rsidRPr="00D14A4F" w:rsidRDefault="00D14A4F" w:rsidP="00A443F4">
      <w:pPr>
        <w:spacing w:line="240" w:lineRule="auto"/>
        <w:rPr>
          <w:rFonts w:ascii="Arial" w:hAnsi="Arial" w:cs="Arial"/>
        </w:rPr>
      </w:pPr>
      <w:r w:rsidRPr="00D14A4F">
        <w:rPr>
          <w:rFonts w:ascii="Arial" w:hAnsi="Arial" w:cs="Arial"/>
        </w:rPr>
        <w:t xml:space="preserve">Notably, a number of companies began the invoicing process on the day that the SIM card was sent out rather than the date of activation from the user. This was not clearly stated during the sign-up process and could lead to people paying money despite not using the service yet. </w:t>
      </w:r>
    </w:p>
    <w:p w14:paraId="75DE5811" w14:textId="77777777" w:rsidR="00D14A4F" w:rsidRPr="00D14A4F" w:rsidRDefault="00D14A4F" w:rsidP="00A443F4">
      <w:pPr>
        <w:spacing w:line="240" w:lineRule="auto"/>
        <w:rPr>
          <w:rFonts w:ascii="Arial" w:hAnsi="Arial" w:cs="Arial"/>
        </w:rPr>
      </w:pPr>
      <w:r w:rsidRPr="00D14A4F">
        <w:rPr>
          <w:rFonts w:ascii="Arial" w:hAnsi="Arial" w:cs="Arial"/>
        </w:rPr>
        <w:t xml:space="preserve">This problem correlates directly with the last common issue identified, which was that many providers’ sign-up page did not allow users to input complex addresses such as a suite within a building. Often, this would lead to us being unable to receive the SIM card despite the order supposedly being delivered already. </w:t>
      </w:r>
    </w:p>
    <w:p w14:paraId="0998306E" w14:textId="0456A716" w:rsidR="00D14A4F" w:rsidRPr="00D14A4F" w:rsidRDefault="00D14A4F" w:rsidP="00A443F4">
      <w:pPr>
        <w:spacing w:line="240" w:lineRule="auto"/>
        <w:rPr>
          <w:rFonts w:ascii="Arial" w:hAnsi="Arial" w:cs="Arial"/>
        </w:rPr>
      </w:pPr>
      <w:r w:rsidRPr="00D14A4F">
        <w:rPr>
          <w:rFonts w:ascii="Arial" w:hAnsi="Arial" w:cs="Arial"/>
        </w:rPr>
        <w:lastRenderedPageBreak/>
        <w:t>For example, with AGL, after having difficulties with providing the delivery address, we were notified that the payment cycle had begun even before we had received the SIM card.</w:t>
      </w:r>
    </w:p>
    <w:p w14:paraId="59D9B065" w14:textId="2B7AA453" w:rsidR="0045294F" w:rsidRPr="00D14A4F" w:rsidRDefault="0045294F" w:rsidP="00A443F4">
      <w:pPr>
        <w:spacing w:line="240" w:lineRule="auto"/>
        <w:rPr>
          <w:rFonts w:ascii="Arial" w:hAnsi="Arial" w:cs="Arial"/>
        </w:rPr>
      </w:pPr>
      <w:r w:rsidRPr="52B41ECF">
        <w:rPr>
          <w:rFonts w:ascii="Arial" w:hAnsi="Arial" w:cs="Arial"/>
        </w:rPr>
        <w:t>Many people with disability do no</w:t>
      </w:r>
      <w:r w:rsidR="40110703" w:rsidRPr="52B41ECF">
        <w:rPr>
          <w:rFonts w:ascii="Arial" w:hAnsi="Arial" w:cs="Arial"/>
        </w:rPr>
        <w:t>t</w:t>
      </w:r>
      <w:r w:rsidRPr="52B41ECF">
        <w:rPr>
          <w:rFonts w:ascii="Arial" w:hAnsi="Arial" w:cs="Arial"/>
        </w:rPr>
        <w:t xml:space="preserve"> drive and as such do not have a </w:t>
      </w:r>
      <w:r w:rsidR="00AC10AA" w:rsidRPr="52B41ECF">
        <w:rPr>
          <w:rFonts w:ascii="Arial" w:hAnsi="Arial" w:cs="Arial"/>
        </w:rPr>
        <w:t>driver’s</w:t>
      </w:r>
      <w:r w:rsidRPr="52B41ECF">
        <w:rPr>
          <w:rFonts w:ascii="Arial" w:hAnsi="Arial" w:cs="Arial"/>
        </w:rPr>
        <w:t xml:space="preserve"> license. </w:t>
      </w:r>
      <w:r w:rsidR="00110C8F" w:rsidRPr="52B41ECF">
        <w:rPr>
          <w:rFonts w:ascii="Arial" w:hAnsi="Arial" w:cs="Arial"/>
        </w:rPr>
        <w:t xml:space="preserve">Hence people with disability may lack sufficient </w:t>
      </w:r>
      <w:r w:rsidR="008C51CD" w:rsidRPr="52B41ECF">
        <w:rPr>
          <w:rFonts w:ascii="Arial" w:hAnsi="Arial" w:cs="Arial"/>
        </w:rPr>
        <w:t>ID</w:t>
      </w:r>
      <w:r w:rsidR="00BC6F21">
        <w:rPr>
          <w:rFonts w:ascii="Arial" w:hAnsi="Arial" w:cs="Arial"/>
        </w:rPr>
        <w:t xml:space="preserve"> or what they do have may be unusable</w:t>
      </w:r>
      <w:r w:rsidR="001A6CEA">
        <w:rPr>
          <w:rFonts w:ascii="Arial" w:hAnsi="Arial" w:cs="Arial"/>
        </w:rPr>
        <w:t xml:space="preserve">, particularly when the full available suite of identification is not </w:t>
      </w:r>
      <w:r w:rsidR="00BC6F21">
        <w:rPr>
          <w:rFonts w:ascii="Arial" w:hAnsi="Arial" w:cs="Arial"/>
        </w:rPr>
        <w:t>itemised by CSPs and used for verification of customers</w:t>
      </w:r>
      <w:r w:rsidR="003D1986" w:rsidRPr="52B41ECF">
        <w:rPr>
          <w:rFonts w:ascii="Arial" w:hAnsi="Arial" w:cs="Arial"/>
        </w:rPr>
        <w:t>.</w:t>
      </w:r>
      <w:r w:rsidR="003D1986">
        <w:rPr>
          <w:rFonts w:ascii="Arial" w:hAnsi="Arial" w:cs="Arial"/>
        </w:rPr>
        <w:t xml:space="preserve"> </w:t>
      </w:r>
      <w:r w:rsidR="00BC6F21">
        <w:rPr>
          <w:rFonts w:ascii="Arial" w:hAnsi="Arial" w:cs="Arial"/>
        </w:rPr>
        <w:t xml:space="preserve">One of the most </w:t>
      </w:r>
      <w:r w:rsidR="003D1986">
        <w:rPr>
          <w:rFonts w:ascii="Arial" w:hAnsi="Arial" w:cs="Arial"/>
        </w:rPr>
        <w:t>crucial elements</w:t>
      </w:r>
      <w:r w:rsidR="00BC6F21">
        <w:rPr>
          <w:rFonts w:ascii="Arial" w:hAnsi="Arial" w:cs="Arial"/>
        </w:rPr>
        <w:t xml:space="preserve"> of this is a need for consistency – so customers can use the same identification at any CSP.</w:t>
      </w:r>
      <w:r w:rsidR="00381977" w:rsidRPr="52B41ECF">
        <w:rPr>
          <w:rFonts w:ascii="Arial" w:hAnsi="Arial" w:cs="Arial"/>
        </w:rPr>
        <w:t xml:space="preserve"> </w:t>
      </w:r>
    </w:p>
    <w:p w14:paraId="2613E4AC" w14:textId="37319780" w:rsidR="00F52A4D" w:rsidRPr="00D14A4F" w:rsidRDefault="00B66965" w:rsidP="00A443F4">
      <w:pPr>
        <w:pStyle w:val="Heading2"/>
        <w:numPr>
          <w:ilvl w:val="1"/>
          <w:numId w:val="18"/>
        </w:numPr>
        <w:spacing w:line="240" w:lineRule="auto"/>
        <w:rPr>
          <w:rFonts w:ascii="Arial" w:hAnsi="Arial" w:cs="Arial"/>
        </w:rPr>
      </w:pPr>
      <w:bookmarkStart w:id="15" w:name="_Toc178337665"/>
      <w:r>
        <w:rPr>
          <w:rFonts w:ascii="Arial" w:hAnsi="Arial" w:cs="Arial"/>
        </w:rPr>
        <w:t>Early Activation</w:t>
      </w:r>
      <w:bookmarkEnd w:id="15"/>
    </w:p>
    <w:p w14:paraId="7289432B" w14:textId="4F14CC35" w:rsidR="000534E8" w:rsidRPr="00D14A4F" w:rsidRDefault="00F435B9" w:rsidP="00A443F4">
      <w:pPr>
        <w:spacing w:line="240" w:lineRule="auto"/>
        <w:rPr>
          <w:rFonts w:ascii="Arial" w:hAnsi="Arial" w:cs="Arial"/>
        </w:rPr>
      </w:pPr>
      <w:r w:rsidRPr="00D14A4F">
        <w:rPr>
          <w:rFonts w:ascii="Arial" w:hAnsi="Arial" w:cs="Arial"/>
        </w:rPr>
        <w:t>A</w:t>
      </w:r>
      <w:r w:rsidR="006A7256" w:rsidRPr="00D14A4F">
        <w:rPr>
          <w:rFonts w:ascii="Arial" w:hAnsi="Arial" w:cs="Arial"/>
        </w:rPr>
        <w:t xml:space="preserve"> </w:t>
      </w:r>
      <w:r w:rsidR="00C07AFB" w:rsidRPr="00D14A4F">
        <w:rPr>
          <w:rFonts w:ascii="Arial" w:hAnsi="Arial" w:cs="Arial"/>
        </w:rPr>
        <w:t>pressing</w:t>
      </w:r>
      <w:r w:rsidR="006A7256" w:rsidRPr="00D14A4F">
        <w:rPr>
          <w:rFonts w:ascii="Arial" w:hAnsi="Arial" w:cs="Arial"/>
        </w:rPr>
        <w:t xml:space="preserve"> issue</w:t>
      </w:r>
      <w:r w:rsidR="00C07AFB" w:rsidRPr="00D14A4F">
        <w:rPr>
          <w:rFonts w:ascii="Arial" w:hAnsi="Arial" w:cs="Arial"/>
        </w:rPr>
        <w:t xml:space="preserve"> encountered </w:t>
      </w:r>
      <w:r w:rsidR="006A7256" w:rsidRPr="00D14A4F">
        <w:rPr>
          <w:rFonts w:ascii="Arial" w:hAnsi="Arial" w:cs="Arial"/>
        </w:rPr>
        <w:t xml:space="preserve">was that SIM cards would be charged </w:t>
      </w:r>
      <w:r w:rsidR="00C07AFB" w:rsidRPr="00D14A4F">
        <w:rPr>
          <w:rFonts w:ascii="Arial" w:hAnsi="Arial" w:cs="Arial"/>
        </w:rPr>
        <w:t>even though</w:t>
      </w:r>
      <w:r w:rsidR="006A7256" w:rsidRPr="00D14A4F">
        <w:rPr>
          <w:rFonts w:ascii="Arial" w:hAnsi="Arial" w:cs="Arial"/>
        </w:rPr>
        <w:t xml:space="preserve"> they had not </w:t>
      </w:r>
      <w:r w:rsidR="00C161EA" w:rsidRPr="00D14A4F">
        <w:rPr>
          <w:rFonts w:ascii="Arial" w:hAnsi="Arial" w:cs="Arial"/>
        </w:rPr>
        <w:t xml:space="preserve">have arrived at the premises or </w:t>
      </w:r>
      <w:r w:rsidR="006A7256" w:rsidRPr="00D14A4F">
        <w:rPr>
          <w:rFonts w:ascii="Arial" w:hAnsi="Arial" w:cs="Arial"/>
        </w:rPr>
        <w:t>been activated yet.</w:t>
      </w:r>
      <w:r w:rsidR="00C3116F">
        <w:rPr>
          <w:rFonts w:ascii="Arial" w:hAnsi="Arial" w:cs="Arial"/>
        </w:rPr>
        <w:t xml:space="preserve"> </w:t>
      </w:r>
      <w:r w:rsidR="00537DBF" w:rsidRPr="00D14A4F">
        <w:rPr>
          <w:rFonts w:ascii="Arial" w:hAnsi="Arial" w:cs="Arial"/>
        </w:rPr>
        <w:t>This</w:t>
      </w:r>
      <w:r w:rsidR="00E97602" w:rsidRPr="00D14A4F">
        <w:rPr>
          <w:rFonts w:ascii="Arial" w:hAnsi="Arial" w:cs="Arial"/>
        </w:rPr>
        <w:t xml:space="preserve"> was the case for AGL, where the service had begun even prior to the SIM card being put into the device</w:t>
      </w:r>
      <w:r w:rsidR="004D479C" w:rsidRPr="00D14A4F">
        <w:rPr>
          <w:rFonts w:ascii="Arial" w:hAnsi="Arial" w:cs="Arial"/>
        </w:rPr>
        <w:t xml:space="preserve"> and activated</w:t>
      </w:r>
      <w:r w:rsidR="00E97602" w:rsidRPr="00D14A4F">
        <w:rPr>
          <w:rFonts w:ascii="Arial" w:hAnsi="Arial" w:cs="Arial"/>
        </w:rPr>
        <w:t>.</w:t>
      </w:r>
      <w:r w:rsidR="00953AFA" w:rsidRPr="00D14A4F">
        <w:rPr>
          <w:rFonts w:ascii="Arial" w:hAnsi="Arial" w:cs="Arial"/>
        </w:rPr>
        <w:t xml:space="preserve"> </w:t>
      </w:r>
    </w:p>
    <w:p w14:paraId="4E403BB0" w14:textId="3A2220E1" w:rsidR="00A10D11" w:rsidRPr="00D14A4F" w:rsidRDefault="00953AFA" w:rsidP="00A443F4">
      <w:pPr>
        <w:spacing w:line="240" w:lineRule="auto"/>
        <w:rPr>
          <w:rFonts w:ascii="Arial" w:hAnsi="Arial" w:cs="Arial"/>
        </w:rPr>
      </w:pPr>
      <w:r w:rsidRPr="00D14A4F">
        <w:rPr>
          <w:rFonts w:ascii="Arial" w:hAnsi="Arial" w:cs="Arial"/>
        </w:rPr>
        <w:t xml:space="preserve">In addition, there are clauses included by mobile service providers </w:t>
      </w:r>
      <w:r w:rsidR="00E45D30" w:rsidRPr="00D14A4F">
        <w:rPr>
          <w:rFonts w:ascii="Arial" w:hAnsi="Arial" w:cs="Arial"/>
        </w:rPr>
        <w:t xml:space="preserve">that may </w:t>
      </w:r>
      <w:r w:rsidR="005E6CDB" w:rsidRPr="00D14A4F">
        <w:rPr>
          <w:rFonts w:ascii="Arial" w:hAnsi="Arial" w:cs="Arial"/>
        </w:rPr>
        <w:t>cause customers to face unnecessary charges</w:t>
      </w:r>
      <w:r w:rsidR="00E45D30" w:rsidRPr="00D14A4F">
        <w:rPr>
          <w:rFonts w:ascii="Arial" w:hAnsi="Arial" w:cs="Arial"/>
        </w:rPr>
        <w:t xml:space="preserve">. For example, Flip Mobile charges a $10 cost should a SIM card not be activated in 30 days, while </w:t>
      </w:r>
      <w:r w:rsidR="00CF3D8F" w:rsidRPr="00D14A4F">
        <w:rPr>
          <w:rFonts w:ascii="Arial" w:hAnsi="Arial" w:cs="Arial"/>
        </w:rPr>
        <w:t xml:space="preserve">More and Tangerine charges the same amount within 2 months upon postage of the SIM card. This can cause issues for </w:t>
      </w:r>
      <w:r w:rsidR="004D6020" w:rsidRPr="00D14A4F">
        <w:rPr>
          <w:rFonts w:ascii="Arial" w:hAnsi="Arial" w:cs="Arial"/>
        </w:rPr>
        <w:t xml:space="preserve">people with complex addresses that may not receive their SIM card appropriately. </w:t>
      </w:r>
      <w:r w:rsidR="003A0CFE" w:rsidRPr="00D14A4F">
        <w:rPr>
          <w:rFonts w:ascii="Arial" w:hAnsi="Arial" w:cs="Arial"/>
        </w:rPr>
        <w:t>More on complex addresses will be discussed in the next issue identified.</w:t>
      </w:r>
      <w:r w:rsidR="002268A5" w:rsidRPr="00D14A4F">
        <w:rPr>
          <w:rFonts w:ascii="Arial" w:hAnsi="Arial" w:cs="Arial"/>
        </w:rPr>
        <w:t xml:space="preserve"> iiNet goes beyond charging </w:t>
      </w:r>
      <w:r w:rsidR="004D479C" w:rsidRPr="00D14A4F">
        <w:rPr>
          <w:rFonts w:ascii="Arial" w:hAnsi="Arial" w:cs="Arial"/>
        </w:rPr>
        <w:t xml:space="preserve">an </w:t>
      </w:r>
      <w:r w:rsidR="002268A5" w:rsidRPr="00D14A4F">
        <w:rPr>
          <w:rFonts w:ascii="Arial" w:hAnsi="Arial" w:cs="Arial"/>
        </w:rPr>
        <w:t xml:space="preserve">amount and automatically activates a service </w:t>
      </w:r>
      <w:r w:rsidR="009C043E" w:rsidRPr="00D14A4F">
        <w:rPr>
          <w:rFonts w:ascii="Arial" w:hAnsi="Arial" w:cs="Arial"/>
        </w:rPr>
        <w:t>anytime on or after the 28</w:t>
      </w:r>
      <w:r w:rsidR="009C043E" w:rsidRPr="00D14A4F">
        <w:rPr>
          <w:rFonts w:ascii="Arial" w:hAnsi="Arial" w:cs="Arial"/>
          <w:vertAlign w:val="superscript"/>
        </w:rPr>
        <w:t>th</w:t>
      </w:r>
      <w:r w:rsidR="009C043E" w:rsidRPr="00D14A4F">
        <w:rPr>
          <w:rFonts w:ascii="Arial" w:hAnsi="Arial" w:cs="Arial"/>
        </w:rPr>
        <w:t xml:space="preserve"> day from completion of the sign-up process.</w:t>
      </w:r>
    </w:p>
    <w:p w14:paraId="2020A7B9" w14:textId="5E159957" w:rsidR="008271DE" w:rsidRPr="00D14A4F" w:rsidRDefault="006150F9" w:rsidP="00A443F4">
      <w:pPr>
        <w:spacing w:line="240" w:lineRule="auto"/>
        <w:rPr>
          <w:rFonts w:ascii="Arial" w:hAnsi="Arial" w:cs="Arial"/>
        </w:rPr>
      </w:pPr>
      <w:r w:rsidRPr="00D14A4F">
        <w:rPr>
          <w:rFonts w:ascii="Arial" w:hAnsi="Arial" w:cs="Arial"/>
        </w:rPr>
        <w:t xml:space="preserve">It is important to note that these clauses </w:t>
      </w:r>
      <w:r w:rsidR="0055260A" w:rsidRPr="00D14A4F">
        <w:rPr>
          <w:rFonts w:ascii="Arial" w:hAnsi="Arial" w:cs="Arial"/>
        </w:rPr>
        <w:t xml:space="preserve">are not clearly articulated to customers prior to the purchase of a </w:t>
      </w:r>
      <w:r w:rsidR="004A3531" w:rsidRPr="00D14A4F">
        <w:rPr>
          <w:rFonts w:ascii="Arial" w:hAnsi="Arial" w:cs="Arial"/>
        </w:rPr>
        <w:t>SIM card.</w:t>
      </w:r>
      <w:r w:rsidR="00954B1C" w:rsidRPr="00D14A4F">
        <w:rPr>
          <w:rFonts w:ascii="Arial" w:hAnsi="Arial" w:cs="Arial"/>
        </w:rPr>
        <w:t xml:space="preserve"> Another aspect to this is that</w:t>
      </w:r>
      <w:r w:rsidR="00F45086" w:rsidRPr="00D14A4F">
        <w:rPr>
          <w:rFonts w:ascii="Arial" w:hAnsi="Arial" w:cs="Arial"/>
        </w:rPr>
        <w:t xml:space="preserve"> the timeline is based on the postal system.</w:t>
      </w:r>
    </w:p>
    <w:p w14:paraId="1DC349C6" w14:textId="4F61359A" w:rsidR="007C53BC" w:rsidRPr="00D14A4F" w:rsidRDefault="00B176BD" w:rsidP="00A443F4">
      <w:pPr>
        <w:spacing w:line="240" w:lineRule="auto"/>
        <w:rPr>
          <w:rFonts w:ascii="Arial" w:hAnsi="Arial" w:cs="Arial"/>
        </w:rPr>
      </w:pPr>
      <w:r>
        <w:rPr>
          <w:rFonts w:ascii="Arial" w:hAnsi="Arial" w:cs="Arial"/>
        </w:rPr>
        <w:t>This d</w:t>
      </w:r>
      <w:r w:rsidRPr="00D14A4F">
        <w:rPr>
          <w:rFonts w:ascii="Arial" w:hAnsi="Arial" w:cs="Arial"/>
        </w:rPr>
        <w:t xml:space="preserve">isadvantages </w:t>
      </w:r>
      <w:r w:rsidR="007C53BC" w:rsidRPr="00D14A4F">
        <w:rPr>
          <w:rFonts w:ascii="Arial" w:hAnsi="Arial" w:cs="Arial"/>
        </w:rPr>
        <w:t>people with disability in rural areas</w:t>
      </w:r>
      <w:r>
        <w:rPr>
          <w:rFonts w:ascii="Arial" w:hAnsi="Arial" w:cs="Arial"/>
        </w:rPr>
        <w:t xml:space="preserve"> who</w:t>
      </w:r>
      <w:r w:rsidR="00425D13">
        <w:rPr>
          <w:rFonts w:ascii="Arial" w:hAnsi="Arial" w:cs="Arial"/>
        </w:rPr>
        <w:t xml:space="preserve"> may be being charged for a service despite them not yet receiving it.</w:t>
      </w:r>
      <w:r w:rsidR="007C53BC" w:rsidRPr="00D14A4F">
        <w:rPr>
          <w:rFonts w:ascii="Arial" w:hAnsi="Arial" w:cs="Arial"/>
        </w:rPr>
        <w:t xml:space="preserve"> </w:t>
      </w:r>
    </w:p>
    <w:p w14:paraId="22699FB7" w14:textId="363BA5F0" w:rsidR="005055B4" w:rsidRPr="00D14A4F" w:rsidRDefault="00E922D1" w:rsidP="00A443F4">
      <w:pPr>
        <w:pStyle w:val="Heading2"/>
        <w:numPr>
          <w:ilvl w:val="1"/>
          <w:numId w:val="18"/>
        </w:numPr>
        <w:spacing w:line="240" w:lineRule="auto"/>
        <w:rPr>
          <w:rFonts w:ascii="Arial" w:hAnsi="Arial" w:cs="Arial"/>
        </w:rPr>
      </w:pPr>
      <w:bookmarkStart w:id="16" w:name="_Toc178337666"/>
      <w:r>
        <w:rPr>
          <w:rFonts w:ascii="Arial" w:hAnsi="Arial" w:cs="Arial"/>
        </w:rPr>
        <w:t>Postal Address Confirmation</w:t>
      </w:r>
      <w:bookmarkEnd w:id="16"/>
    </w:p>
    <w:p w14:paraId="33518C14" w14:textId="29AE3EBE" w:rsidR="005C368D" w:rsidRPr="00D14A4F" w:rsidRDefault="00425D13" w:rsidP="00A443F4">
      <w:pPr>
        <w:spacing w:line="240" w:lineRule="auto"/>
        <w:rPr>
          <w:rFonts w:ascii="Arial" w:hAnsi="Arial" w:cs="Arial"/>
        </w:rPr>
      </w:pPr>
      <w:r>
        <w:rPr>
          <w:rFonts w:ascii="Arial" w:hAnsi="Arial" w:cs="Arial"/>
        </w:rPr>
        <w:t xml:space="preserve">CFA Australia had issues using our own postal address </w:t>
      </w:r>
      <w:r w:rsidR="001D792B" w:rsidRPr="00D14A4F">
        <w:rPr>
          <w:rFonts w:ascii="Arial" w:hAnsi="Arial" w:cs="Arial"/>
        </w:rPr>
        <w:t xml:space="preserve">which has a </w:t>
      </w:r>
      <w:r w:rsidR="00B176BD">
        <w:rPr>
          <w:rFonts w:ascii="Arial" w:hAnsi="Arial" w:cs="Arial"/>
        </w:rPr>
        <w:t>s</w:t>
      </w:r>
      <w:r w:rsidR="001D792B" w:rsidRPr="00D14A4F">
        <w:rPr>
          <w:rFonts w:ascii="Arial" w:hAnsi="Arial" w:cs="Arial"/>
        </w:rPr>
        <w:t xml:space="preserve">uite number alongside </w:t>
      </w:r>
      <w:r w:rsidR="001D70C5" w:rsidRPr="00D14A4F">
        <w:rPr>
          <w:rFonts w:ascii="Arial" w:hAnsi="Arial" w:cs="Arial"/>
        </w:rPr>
        <w:t>the street</w:t>
      </w:r>
      <w:r w:rsidR="001D792B" w:rsidRPr="00D14A4F">
        <w:rPr>
          <w:rFonts w:ascii="Arial" w:hAnsi="Arial" w:cs="Arial"/>
        </w:rPr>
        <w:t xml:space="preserve"> number</w:t>
      </w:r>
      <w:r w:rsidR="00F542F2">
        <w:rPr>
          <w:rFonts w:ascii="Arial" w:hAnsi="Arial" w:cs="Arial"/>
        </w:rPr>
        <w:t xml:space="preserve"> and</w:t>
      </w:r>
      <w:r w:rsidR="007A382A" w:rsidRPr="00D14A4F">
        <w:rPr>
          <w:rFonts w:ascii="Arial" w:hAnsi="Arial" w:cs="Arial"/>
        </w:rPr>
        <w:t xml:space="preserve"> </w:t>
      </w:r>
      <w:r w:rsidR="001D792B" w:rsidRPr="00D14A4F">
        <w:rPr>
          <w:rFonts w:ascii="Arial" w:hAnsi="Arial" w:cs="Arial"/>
        </w:rPr>
        <w:t>name</w:t>
      </w:r>
      <w:r w:rsidR="00F542F2">
        <w:rPr>
          <w:rFonts w:ascii="Arial" w:hAnsi="Arial" w:cs="Arial"/>
        </w:rPr>
        <w:t>.</w:t>
      </w:r>
      <w:r w:rsidR="001D792B" w:rsidRPr="00D14A4F">
        <w:rPr>
          <w:rFonts w:ascii="Arial" w:hAnsi="Arial" w:cs="Arial"/>
        </w:rPr>
        <w:t xml:space="preserve"> </w:t>
      </w:r>
    </w:p>
    <w:p w14:paraId="39F9262F" w14:textId="4C0BCB9E" w:rsidR="005C368D" w:rsidRPr="00D14A4F" w:rsidRDefault="00B141D4" w:rsidP="00A443F4">
      <w:pPr>
        <w:spacing w:line="240" w:lineRule="auto"/>
        <w:rPr>
          <w:rFonts w:ascii="Arial" w:hAnsi="Arial" w:cs="Arial"/>
        </w:rPr>
      </w:pPr>
      <w:r w:rsidRPr="00D14A4F">
        <w:rPr>
          <w:rFonts w:ascii="Arial" w:hAnsi="Arial" w:cs="Arial"/>
        </w:rPr>
        <w:t>It was found that most mobile service providers did not allow for such an address to b</w:t>
      </w:r>
      <w:r w:rsidR="007F6EDD" w:rsidRPr="00D14A4F">
        <w:rPr>
          <w:rFonts w:ascii="Arial" w:hAnsi="Arial" w:cs="Arial"/>
        </w:rPr>
        <w:t xml:space="preserve">e input for SIM card delivery. </w:t>
      </w:r>
      <w:r w:rsidR="00B8487C" w:rsidRPr="00D14A4F">
        <w:rPr>
          <w:rFonts w:ascii="Arial" w:hAnsi="Arial" w:cs="Arial"/>
        </w:rPr>
        <w:t>Often</w:t>
      </w:r>
      <w:r w:rsidR="007F6EDD" w:rsidRPr="00D14A4F">
        <w:rPr>
          <w:rFonts w:ascii="Arial" w:hAnsi="Arial" w:cs="Arial"/>
        </w:rPr>
        <w:t xml:space="preserve">, this led to SIM cards not being delivered appropriately </w:t>
      </w:r>
      <w:r w:rsidR="0007267E" w:rsidRPr="00D14A4F">
        <w:rPr>
          <w:rFonts w:ascii="Arial" w:hAnsi="Arial" w:cs="Arial"/>
        </w:rPr>
        <w:t xml:space="preserve">during the supposed timeframe </w:t>
      </w:r>
      <w:r w:rsidR="007F6EDD" w:rsidRPr="00D14A4F">
        <w:rPr>
          <w:rFonts w:ascii="Arial" w:hAnsi="Arial" w:cs="Arial"/>
        </w:rPr>
        <w:t>to CFA Australia</w:t>
      </w:r>
      <w:r w:rsidR="0007267E" w:rsidRPr="00D14A4F">
        <w:rPr>
          <w:rFonts w:ascii="Arial" w:hAnsi="Arial" w:cs="Arial"/>
        </w:rPr>
        <w:t>.</w:t>
      </w:r>
    </w:p>
    <w:p w14:paraId="71928ECE" w14:textId="30563B9A" w:rsidR="00187FEB" w:rsidRPr="00D14A4F" w:rsidRDefault="00187FEB" w:rsidP="00A443F4">
      <w:pPr>
        <w:spacing w:line="240" w:lineRule="auto"/>
        <w:rPr>
          <w:rFonts w:ascii="Arial" w:hAnsi="Arial" w:cs="Arial"/>
        </w:rPr>
      </w:pPr>
      <w:r w:rsidRPr="00D14A4F">
        <w:rPr>
          <w:rFonts w:ascii="Arial" w:hAnsi="Arial" w:cs="Arial"/>
        </w:rPr>
        <w:t xml:space="preserve">For mobile service providers such as Exetel, iiNet, </w:t>
      </w:r>
      <w:r w:rsidR="002E0EA3" w:rsidRPr="00D14A4F">
        <w:rPr>
          <w:rFonts w:ascii="Arial" w:hAnsi="Arial" w:cs="Arial"/>
        </w:rPr>
        <w:t xml:space="preserve">iPrimus, Spintel, Superloop, and Swoop, a phone call had to made to </w:t>
      </w:r>
      <w:r w:rsidR="008757A0" w:rsidRPr="00D14A4F">
        <w:rPr>
          <w:rFonts w:ascii="Arial" w:hAnsi="Arial" w:cs="Arial"/>
        </w:rPr>
        <w:t xml:space="preserve">ensure that the SIM card would be delivered to the correct address. This may cause difficulties to people with a disability </w:t>
      </w:r>
      <w:r w:rsidR="00FA4C17" w:rsidRPr="00D14A4F">
        <w:rPr>
          <w:rFonts w:ascii="Arial" w:hAnsi="Arial" w:cs="Arial"/>
        </w:rPr>
        <w:t>who are unable to facilitate a phone call.</w:t>
      </w:r>
      <w:r w:rsidR="00BF41EF" w:rsidRPr="00D14A4F">
        <w:rPr>
          <w:rFonts w:ascii="Arial" w:hAnsi="Arial" w:cs="Arial"/>
        </w:rPr>
        <w:t xml:space="preserve"> In addition, this information is not presented anywhere on their website.</w:t>
      </w:r>
    </w:p>
    <w:p w14:paraId="5BB4F7E8" w14:textId="09037EEA" w:rsidR="00C35620" w:rsidRPr="00D14A4F" w:rsidRDefault="00FA4C17" w:rsidP="00A443F4">
      <w:pPr>
        <w:spacing w:line="240" w:lineRule="auto"/>
        <w:rPr>
          <w:rFonts w:ascii="Arial" w:hAnsi="Arial" w:cs="Arial"/>
        </w:rPr>
      </w:pPr>
      <w:r w:rsidRPr="00D14A4F">
        <w:rPr>
          <w:rFonts w:ascii="Arial" w:hAnsi="Arial" w:cs="Arial"/>
        </w:rPr>
        <w:t xml:space="preserve">However, some providers </w:t>
      </w:r>
      <w:r w:rsidR="00622E10" w:rsidRPr="00D14A4F">
        <w:rPr>
          <w:rFonts w:ascii="Arial" w:hAnsi="Arial" w:cs="Arial"/>
        </w:rPr>
        <w:t>do not even accept a phone call to confirm</w:t>
      </w:r>
      <w:r w:rsidR="00B20DE5" w:rsidRPr="00D14A4F">
        <w:rPr>
          <w:rFonts w:ascii="Arial" w:hAnsi="Arial" w:cs="Arial"/>
        </w:rPr>
        <w:t xml:space="preserve"> or update</w:t>
      </w:r>
      <w:r w:rsidR="00622E10" w:rsidRPr="00D14A4F">
        <w:rPr>
          <w:rFonts w:ascii="Arial" w:hAnsi="Arial" w:cs="Arial"/>
        </w:rPr>
        <w:t xml:space="preserve"> the delivery address</w:t>
      </w:r>
      <w:r w:rsidR="00B20DE5" w:rsidRPr="00D14A4F">
        <w:rPr>
          <w:rFonts w:ascii="Arial" w:hAnsi="Arial" w:cs="Arial"/>
        </w:rPr>
        <w:t xml:space="preserve"> to a more complex one</w:t>
      </w:r>
      <w:r w:rsidR="00622E10" w:rsidRPr="00D14A4F">
        <w:rPr>
          <w:rFonts w:ascii="Arial" w:hAnsi="Arial" w:cs="Arial"/>
        </w:rPr>
        <w:t xml:space="preserve">. For example, </w:t>
      </w:r>
      <w:r w:rsidR="000A4AD6" w:rsidRPr="00D14A4F">
        <w:rPr>
          <w:rFonts w:ascii="Arial" w:hAnsi="Arial" w:cs="Arial"/>
        </w:rPr>
        <w:t>a representative from Southern Phone encouraged</w:t>
      </w:r>
      <w:r w:rsidR="00B20DE5" w:rsidRPr="00D14A4F">
        <w:rPr>
          <w:rFonts w:ascii="Arial" w:hAnsi="Arial" w:cs="Arial"/>
        </w:rPr>
        <w:t xml:space="preserve"> us to change the physical SIM card</w:t>
      </w:r>
      <w:r w:rsidR="00DA6300" w:rsidRPr="00D14A4F">
        <w:rPr>
          <w:rFonts w:ascii="Arial" w:hAnsi="Arial" w:cs="Arial"/>
        </w:rPr>
        <w:t xml:space="preserve"> to an E-SIM as their system was not set up to accept non-standard addresses.</w:t>
      </w:r>
      <w:r w:rsidR="0019581B" w:rsidRPr="00D14A4F">
        <w:rPr>
          <w:rFonts w:ascii="Arial" w:hAnsi="Arial" w:cs="Arial"/>
        </w:rPr>
        <w:t xml:space="preserve"> By ordering an E-SIM, only an email address would be required.</w:t>
      </w:r>
      <w:bookmarkEnd w:id="13"/>
      <w:r w:rsidR="00C35620" w:rsidRPr="00D14A4F">
        <w:rPr>
          <w:rFonts w:ascii="Arial" w:hAnsi="Arial" w:cs="Arial"/>
        </w:rPr>
        <w:br w:type="page"/>
      </w:r>
    </w:p>
    <w:p w14:paraId="24382779" w14:textId="62A506F2" w:rsidR="00F77E33" w:rsidRDefault="00F77E33" w:rsidP="00A443F4">
      <w:pPr>
        <w:pStyle w:val="Heading1"/>
        <w:numPr>
          <w:ilvl w:val="0"/>
          <w:numId w:val="18"/>
        </w:numPr>
        <w:spacing w:line="240" w:lineRule="auto"/>
        <w:rPr>
          <w:rFonts w:ascii="Arial" w:hAnsi="Arial" w:cs="Arial"/>
        </w:rPr>
      </w:pPr>
      <w:bookmarkStart w:id="17" w:name="_Toc178337667"/>
      <w:r w:rsidRPr="00D14A4F">
        <w:rPr>
          <w:rFonts w:ascii="Arial" w:hAnsi="Arial" w:cs="Arial"/>
        </w:rPr>
        <w:lastRenderedPageBreak/>
        <w:t>Recommendations</w:t>
      </w:r>
      <w:r w:rsidR="00544633" w:rsidRPr="00D14A4F">
        <w:rPr>
          <w:rFonts w:ascii="Arial" w:hAnsi="Arial" w:cs="Arial"/>
        </w:rPr>
        <w:t xml:space="preserve"> and Conclusion</w:t>
      </w:r>
      <w:bookmarkEnd w:id="17"/>
    </w:p>
    <w:p w14:paraId="0A166E9D" w14:textId="3D5DD90B" w:rsidR="002214E0" w:rsidRPr="002214E0" w:rsidRDefault="00273BF5" w:rsidP="00A443F4">
      <w:pPr>
        <w:pStyle w:val="ListParagraph"/>
        <w:numPr>
          <w:ilvl w:val="0"/>
          <w:numId w:val="27"/>
        </w:numPr>
        <w:spacing w:line="240" w:lineRule="auto"/>
        <w:rPr>
          <w:rFonts w:ascii="Arial" w:eastAsiaTheme="majorEastAsia" w:hAnsi="Arial" w:cs="Arial"/>
          <w:sz w:val="40"/>
          <w:szCs w:val="40"/>
        </w:rPr>
      </w:pPr>
      <w:r w:rsidRPr="007C25F8">
        <w:rPr>
          <w:rFonts w:ascii="Arial" w:hAnsi="Arial" w:cs="Arial"/>
        </w:rPr>
        <w:t xml:space="preserve">This report has highlighted three </w:t>
      </w:r>
      <w:r w:rsidR="003D1986" w:rsidRPr="007C25F8">
        <w:rPr>
          <w:rFonts w:ascii="Arial" w:hAnsi="Arial" w:cs="Arial"/>
        </w:rPr>
        <w:t>key issues</w:t>
      </w:r>
      <w:r w:rsidRPr="007C25F8">
        <w:rPr>
          <w:rFonts w:ascii="Arial" w:hAnsi="Arial" w:cs="Arial"/>
        </w:rPr>
        <w:t xml:space="preserve"> that were not addressed in the primary report due to being out of scope. During the review of the project by ACCAN and CFA Australia, these issues were uncovered and identified as posing a significant risk to people with disability. Hence, through this companion report, CFA Australia </w:t>
      </w:r>
      <w:r w:rsidR="00B176BD">
        <w:rPr>
          <w:rFonts w:ascii="Arial" w:hAnsi="Arial" w:cs="Arial"/>
        </w:rPr>
        <w:t>recommends</w:t>
      </w:r>
      <w:r w:rsidR="003D1986">
        <w:rPr>
          <w:rFonts w:ascii="Arial" w:hAnsi="Arial" w:cs="Arial"/>
        </w:rPr>
        <w:t xml:space="preserve"> that t</w:t>
      </w:r>
      <w:r w:rsidR="002214E0" w:rsidRPr="00843E67">
        <w:rPr>
          <w:rFonts w:ascii="Arial" w:hAnsi="Arial" w:cs="Arial"/>
        </w:rPr>
        <w:t xml:space="preserve">he ACMA notify CSPs of their obligation to </w:t>
      </w:r>
      <w:r w:rsidR="002214E0">
        <w:rPr>
          <w:rFonts w:ascii="Arial" w:hAnsi="Arial" w:cs="Arial"/>
        </w:rPr>
        <w:t xml:space="preserve">review and </w:t>
      </w:r>
      <w:r w:rsidR="002214E0" w:rsidRPr="00843E67">
        <w:rPr>
          <w:rFonts w:ascii="Arial" w:hAnsi="Arial" w:cs="Arial"/>
        </w:rPr>
        <w:t>comply with the Telecommunications Service Provider (Customer Identity Authentication) Determination 2022</w:t>
      </w:r>
      <w:r w:rsidR="003D1986">
        <w:rPr>
          <w:rFonts w:ascii="Arial" w:hAnsi="Arial" w:cs="Arial"/>
        </w:rPr>
        <w:t xml:space="preserve">. </w:t>
      </w:r>
      <w:r w:rsidR="002214E0">
        <w:rPr>
          <w:rFonts w:ascii="Arial" w:hAnsi="Arial" w:cs="Arial"/>
        </w:rPr>
        <w:t>This includes ensuring</w:t>
      </w:r>
      <w:r w:rsidR="002214E0" w:rsidRPr="00843E67">
        <w:rPr>
          <w:rFonts w:ascii="Arial" w:hAnsi="Arial" w:cs="Arial"/>
        </w:rPr>
        <w:t xml:space="preserve"> identity </w:t>
      </w:r>
      <w:r w:rsidR="002214E0">
        <w:rPr>
          <w:rFonts w:ascii="Arial" w:hAnsi="Arial" w:cs="Arial"/>
        </w:rPr>
        <w:t>options align with those set out in the determination, with no undue restriction on suitable identification formats or verification options.</w:t>
      </w:r>
    </w:p>
    <w:p w14:paraId="51F51F1E" w14:textId="2F6DF3F1" w:rsidR="004101B3" w:rsidRPr="007C25F8" w:rsidRDefault="004101B3" w:rsidP="00A443F4">
      <w:pPr>
        <w:pStyle w:val="ListParagraph"/>
        <w:numPr>
          <w:ilvl w:val="0"/>
          <w:numId w:val="27"/>
        </w:numPr>
        <w:spacing w:line="240" w:lineRule="auto"/>
        <w:rPr>
          <w:rFonts w:ascii="Arial" w:hAnsi="Arial" w:cs="Arial"/>
          <w:b/>
          <w:sz w:val="40"/>
          <w:szCs w:val="36"/>
          <w:lang w:eastAsia="en-GB"/>
        </w:rPr>
      </w:pPr>
      <w:r>
        <w:rPr>
          <w:rFonts w:ascii="Arial" w:hAnsi="Arial" w:cs="Arial"/>
        </w:rPr>
        <w:t>The ACCC investigate whether ‘starting the clock’ on SIM cards consumers have not yet received is an unfair business practice</w:t>
      </w:r>
      <w:r w:rsidR="00E0658B">
        <w:rPr>
          <w:rFonts w:ascii="Arial" w:hAnsi="Arial" w:cs="Arial"/>
        </w:rPr>
        <w:t xml:space="preserve"> for vulnerable consumers</w:t>
      </w:r>
    </w:p>
    <w:p w14:paraId="4CC28012" w14:textId="4D47D99E" w:rsidR="00A62B73" w:rsidRPr="007C25F8" w:rsidRDefault="00A62B73" w:rsidP="00A443F4">
      <w:pPr>
        <w:pStyle w:val="ListParagraph"/>
        <w:numPr>
          <w:ilvl w:val="0"/>
          <w:numId w:val="27"/>
        </w:numPr>
        <w:spacing w:line="240" w:lineRule="auto"/>
        <w:rPr>
          <w:rFonts w:ascii="Arial" w:eastAsiaTheme="majorEastAsia" w:hAnsi="Arial" w:cs="Arial"/>
          <w:sz w:val="40"/>
          <w:szCs w:val="40"/>
        </w:rPr>
      </w:pPr>
      <w:r w:rsidRPr="007C25F8">
        <w:rPr>
          <w:rFonts w:ascii="Arial" w:hAnsi="Arial" w:cs="Arial"/>
        </w:rPr>
        <w:t>CSPs ensure form fields for postal addresses are flexible to allow them to include only a simple street name and number.</w:t>
      </w:r>
    </w:p>
    <w:p w14:paraId="1570F5AE" w14:textId="0B3DD476" w:rsidR="00B2067A" w:rsidRPr="00D8664F" w:rsidRDefault="00AE2A55" w:rsidP="00A443F4">
      <w:pPr>
        <w:spacing w:after="240" w:line="240" w:lineRule="auto"/>
        <w:rPr>
          <w:rFonts w:ascii="Arial" w:hAnsi="Arial" w:cs="Arial"/>
        </w:rPr>
      </w:pPr>
      <w:r>
        <w:rPr>
          <w:rFonts w:ascii="Arial" w:hAnsi="Arial" w:cs="Arial"/>
        </w:rPr>
        <w:t>T</w:t>
      </w:r>
      <w:r w:rsidR="00256496">
        <w:rPr>
          <w:rFonts w:ascii="Arial" w:hAnsi="Arial" w:cs="Arial"/>
        </w:rPr>
        <w:t>he i</w:t>
      </w:r>
      <w:r w:rsidR="00256496" w:rsidRPr="00256496">
        <w:rPr>
          <w:rFonts w:ascii="Arial" w:hAnsi="Arial" w:cs="Arial"/>
        </w:rPr>
        <w:t>dentification requirements</w:t>
      </w:r>
      <w:r w:rsidR="00256496">
        <w:rPr>
          <w:rFonts w:ascii="Arial" w:hAnsi="Arial" w:cs="Arial"/>
        </w:rPr>
        <w:t xml:space="preserve">, early activation, and postal address </w:t>
      </w:r>
      <w:r w:rsidR="00FB46D5">
        <w:rPr>
          <w:rFonts w:ascii="Arial" w:hAnsi="Arial" w:cs="Arial"/>
        </w:rPr>
        <w:t>confirmation</w:t>
      </w:r>
      <w:r w:rsidR="0034733F">
        <w:rPr>
          <w:rFonts w:ascii="Arial" w:hAnsi="Arial" w:cs="Arial"/>
        </w:rPr>
        <w:t xml:space="preserve"> are of particular importance to people with </w:t>
      </w:r>
      <w:r w:rsidR="006B2490">
        <w:rPr>
          <w:rFonts w:ascii="Arial" w:hAnsi="Arial" w:cs="Arial"/>
        </w:rPr>
        <w:t>disability</w:t>
      </w:r>
      <w:r w:rsidR="009E409B">
        <w:rPr>
          <w:rFonts w:ascii="Arial" w:hAnsi="Arial" w:cs="Arial"/>
        </w:rPr>
        <w:t xml:space="preserve"> as these </w:t>
      </w:r>
      <w:r w:rsidR="00147703">
        <w:rPr>
          <w:rFonts w:ascii="Arial" w:hAnsi="Arial" w:cs="Arial"/>
        </w:rPr>
        <w:t>features</w:t>
      </w:r>
      <w:r w:rsidR="0034733F">
        <w:rPr>
          <w:rFonts w:ascii="Arial" w:hAnsi="Arial" w:cs="Arial"/>
        </w:rPr>
        <w:t xml:space="preserve"> </w:t>
      </w:r>
      <w:r w:rsidR="00727034">
        <w:rPr>
          <w:rFonts w:ascii="Arial" w:hAnsi="Arial" w:cs="Arial"/>
        </w:rPr>
        <w:t>ensure</w:t>
      </w:r>
      <w:r w:rsidR="0034733F">
        <w:rPr>
          <w:rFonts w:ascii="Arial" w:hAnsi="Arial" w:cs="Arial"/>
        </w:rPr>
        <w:t xml:space="preserve"> people </w:t>
      </w:r>
      <w:r w:rsidR="00705DFE">
        <w:rPr>
          <w:rFonts w:ascii="Arial" w:hAnsi="Arial" w:cs="Arial"/>
        </w:rPr>
        <w:t xml:space="preserve">with disability </w:t>
      </w:r>
      <w:r w:rsidR="00AC10AA">
        <w:rPr>
          <w:rFonts w:ascii="Arial" w:hAnsi="Arial" w:cs="Arial"/>
        </w:rPr>
        <w:t>can</w:t>
      </w:r>
      <w:r w:rsidR="0034733F">
        <w:rPr>
          <w:rFonts w:ascii="Arial" w:hAnsi="Arial" w:cs="Arial"/>
        </w:rPr>
        <w:t xml:space="preserve"> </w:t>
      </w:r>
      <w:r w:rsidR="00705DFE">
        <w:rPr>
          <w:rFonts w:ascii="Arial" w:hAnsi="Arial" w:cs="Arial"/>
        </w:rPr>
        <w:t xml:space="preserve">both </w:t>
      </w:r>
      <w:r w:rsidR="0034733F">
        <w:rPr>
          <w:rFonts w:ascii="Arial" w:hAnsi="Arial" w:cs="Arial"/>
        </w:rPr>
        <w:t xml:space="preserve">cancel </w:t>
      </w:r>
      <w:r w:rsidR="00705DFE">
        <w:rPr>
          <w:rFonts w:ascii="Arial" w:hAnsi="Arial" w:cs="Arial"/>
        </w:rPr>
        <w:t xml:space="preserve">and commence </w:t>
      </w:r>
      <w:r w:rsidR="006B2490">
        <w:rPr>
          <w:rFonts w:ascii="Arial" w:hAnsi="Arial" w:cs="Arial"/>
        </w:rPr>
        <w:t>plans</w:t>
      </w:r>
      <w:r w:rsidR="0034733F">
        <w:rPr>
          <w:rFonts w:ascii="Arial" w:hAnsi="Arial" w:cs="Arial"/>
        </w:rPr>
        <w:t xml:space="preserve"> </w:t>
      </w:r>
      <w:r w:rsidR="00705DFE">
        <w:rPr>
          <w:rFonts w:ascii="Arial" w:hAnsi="Arial" w:cs="Arial"/>
        </w:rPr>
        <w:t xml:space="preserve">efficiently. </w:t>
      </w:r>
      <w:r w:rsidR="007758E9">
        <w:rPr>
          <w:rFonts w:ascii="Arial" w:hAnsi="Arial" w:cs="Arial"/>
        </w:rPr>
        <w:t xml:space="preserve">From </w:t>
      </w:r>
      <w:r w:rsidR="00CB3F12">
        <w:rPr>
          <w:rFonts w:ascii="Arial" w:hAnsi="Arial" w:cs="Arial"/>
        </w:rPr>
        <w:t xml:space="preserve">this companion report, </w:t>
      </w:r>
      <w:r w:rsidR="00FD4C6A">
        <w:rPr>
          <w:rFonts w:ascii="Arial" w:hAnsi="Arial" w:cs="Arial"/>
        </w:rPr>
        <w:t>regulators and CSPs wi</w:t>
      </w:r>
      <w:r w:rsidR="008E0E29">
        <w:rPr>
          <w:rFonts w:ascii="Arial" w:hAnsi="Arial" w:cs="Arial"/>
        </w:rPr>
        <w:t>ll have an</w:t>
      </w:r>
      <w:r w:rsidR="0034733F">
        <w:rPr>
          <w:rFonts w:ascii="Arial" w:hAnsi="Arial" w:cs="Arial"/>
        </w:rPr>
        <w:t xml:space="preserve"> </w:t>
      </w:r>
      <w:r w:rsidR="007758E9">
        <w:rPr>
          <w:rFonts w:ascii="Arial" w:hAnsi="Arial" w:cs="Arial"/>
        </w:rPr>
        <w:t>understanding</w:t>
      </w:r>
      <w:r w:rsidR="008E0E29">
        <w:rPr>
          <w:rFonts w:ascii="Arial" w:hAnsi="Arial" w:cs="Arial"/>
        </w:rPr>
        <w:t xml:space="preserve"> of the options available to avoid excluding customers with disability from telecommunications services,</w:t>
      </w:r>
      <w:r w:rsidR="007758E9">
        <w:rPr>
          <w:rFonts w:ascii="Arial" w:hAnsi="Arial" w:cs="Arial"/>
        </w:rPr>
        <w:t xml:space="preserve"> </w:t>
      </w:r>
      <w:r w:rsidR="0034733F">
        <w:rPr>
          <w:rFonts w:ascii="Arial" w:hAnsi="Arial" w:cs="Arial"/>
        </w:rPr>
        <w:t xml:space="preserve">and ensure their </w:t>
      </w:r>
      <w:r w:rsidR="00F02C5A">
        <w:rPr>
          <w:rFonts w:ascii="Arial" w:hAnsi="Arial" w:cs="Arial"/>
        </w:rPr>
        <w:t xml:space="preserve">full </w:t>
      </w:r>
      <w:r w:rsidR="006B2490">
        <w:rPr>
          <w:rFonts w:ascii="Arial" w:hAnsi="Arial" w:cs="Arial"/>
        </w:rPr>
        <w:t>independence</w:t>
      </w:r>
      <w:r w:rsidR="00F02C5A">
        <w:rPr>
          <w:rFonts w:ascii="Arial" w:hAnsi="Arial" w:cs="Arial"/>
        </w:rPr>
        <w:t xml:space="preserve"> when </w:t>
      </w:r>
      <w:r w:rsidR="001D70C5">
        <w:rPr>
          <w:rFonts w:ascii="Arial" w:hAnsi="Arial" w:cs="Arial"/>
        </w:rPr>
        <w:t>obtaining</w:t>
      </w:r>
      <w:r w:rsidR="00F02C5A">
        <w:rPr>
          <w:rFonts w:ascii="Arial" w:hAnsi="Arial" w:cs="Arial"/>
        </w:rPr>
        <w:t xml:space="preserve"> a SIM from a mobile service provider</w:t>
      </w:r>
      <w:r w:rsidR="008C66E7">
        <w:rPr>
          <w:rFonts w:ascii="Arial" w:hAnsi="Arial" w:cs="Arial"/>
        </w:rPr>
        <w:t>.</w:t>
      </w:r>
    </w:p>
    <w:sectPr w:rsidR="00B2067A" w:rsidRPr="00D86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EE7"/>
    <w:multiLevelType w:val="hybridMultilevel"/>
    <w:tmpl w:val="6652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0063D"/>
    <w:multiLevelType w:val="hybridMultilevel"/>
    <w:tmpl w:val="E94805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15757E"/>
    <w:multiLevelType w:val="hybridMultilevel"/>
    <w:tmpl w:val="6978B8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5A3581"/>
    <w:multiLevelType w:val="hybridMultilevel"/>
    <w:tmpl w:val="C12683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B43655"/>
    <w:multiLevelType w:val="hybridMultilevel"/>
    <w:tmpl w:val="7DFC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15FF8"/>
    <w:multiLevelType w:val="hybridMultilevel"/>
    <w:tmpl w:val="6798C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A2142"/>
    <w:multiLevelType w:val="hybridMultilevel"/>
    <w:tmpl w:val="6798C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920A1E"/>
    <w:multiLevelType w:val="hybridMultilevel"/>
    <w:tmpl w:val="BD8E9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C56A08"/>
    <w:multiLevelType w:val="hybridMultilevel"/>
    <w:tmpl w:val="C3C85BB4"/>
    <w:lvl w:ilvl="0" w:tplc="0C090017">
      <w:start w:val="1"/>
      <w:numFmt w:val="lowerLetter"/>
      <w:lvlText w:val="%1)"/>
      <w:lvlJc w:val="left"/>
      <w:pPr>
        <w:ind w:left="2356" w:hanging="360"/>
      </w:p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9" w15:restartNumberingAfterBreak="0">
    <w:nsid w:val="37544EBD"/>
    <w:multiLevelType w:val="hybridMultilevel"/>
    <w:tmpl w:val="E702C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683E2F"/>
    <w:multiLevelType w:val="hybridMultilevel"/>
    <w:tmpl w:val="C70CB8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6D0717"/>
    <w:multiLevelType w:val="multilevel"/>
    <w:tmpl w:val="F03E3C4A"/>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104F93"/>
    <w:multiLevelType w:val="hybridMultilevel"/>
    <w:tmpl w:val="1D1623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E765BD"/>
    <w:multiLevelType w:val="hybridMultilevel"/>
    <w:tmpl w:val="B058A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FE316F"/>
    <w:multiLevelType w:val="hybridMultilevel"/>
    <w:tmpl w:val="6302B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35687A"/>
    <w:multiLevelType w:val="hybridMultilevel"/>
    <w:tmpl w:val="D84EEB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1328D"/>
    <w:multiLevelType w:val="hybridMultilevel"/>
    <w:tmpl w:val="03F4F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846CFF"/>
    <w:multiLevelType w:val="hybridMultilevel"/>
    <w:tmpl w:val="6798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C519C"/>
    <w:multiLevelType w:val="hybridMultilevel"/>
    <w:tmpl w:val="2D625F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8360CA"/>
    <w:multiLevelType w:val="hybridMultilevel"/>
    <w:tmpl w:val="2B28FF0E"/>
    <w:lvl w:ilvl="0" w:tplc="66B0D6AC">
      <w:start w:val="1"/>
      <w:numFmt w:val="decimal"/>
      <w:lvlText w:val="%1."/>
      <w:lvlJc w:val="left"/>
      <w:pPr>
        <w:ind w:left="720" w:hanging="360"/>
      </w:pPr>
      <w:rPr>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52679E"/>
    <w:multiLevelType w:val="hybridMultilevel"/>
    <w:tmpl w:val="DDDCE2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18C1295"/>
    <w:multiLevelType w:val="hybridMultilevel"/>
    <w:tmpl w:val="6798C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782A5C"/>
    <w:multiLevelType w:val="hybridMultilevel"/>
    <w:tmpl w:val="6EC4E2F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3" w15:restartNumberingAfterBreak="0">
    <w:nsid w:val="6A3C3C7B"/>
    <w:multiLevelType w:val="hybridMultilevel"/>
    <w:tmpl w:val="F46A1E96"/>
    <w:lvl w:ilvl="0" w:tplc="0C09000F">
      <w:start w:val="1"/>
      <w:numFmt w:val="decimal"/>
      <w:lvlText w:val="%1."/>
      <w:lvlJc w:val="left"/>
      <w:pPr>
        <w:ind w:left="720" w:hanging="360"/>
      </w:pPr>
    </w:lvl>
    <w:lvl w:ilvl="1" w:tplc="0C090019">
      <w:start w:val="1"/>
      <w:numFmt w:val="lowerLetter"/>
      <w:lvlText w:val="%2."/>
      <w:lvlJc w:val="left"/>
      <w:pPr>
        <w:ind w:left="1211"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C00252"/>
    <w:multiLevelType w:val="hybridMultilevel"/>
    <w:tmpl w:val="A9547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9A0F72"/>
    <w:multiLevelType w:val="hybridMultilevel"/>
    <w:tmpl w:val="98F0B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9C5BDE"/>
    <w:multiLevelType w:val="multilevel"/>
    <w:tmpl w:val="C9D2106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7148739">
    <w:abstractNumId w:val="0"/>
  </w:num>
  <w:num w:numId="2" w16cid:durableId="711344416">
    <w:abstractNumId w:val="17"/>
  </w:num>
  <w:num w:numId="3" w16cid:durableId="768625666">
    <w:abstractNumId w:val="8"/>
  </w:num>
  <w:num w:numId="4" w16cid:durableId="912472838">
    <w:abstractNumId w:val="2"/>
  </w:num>
  <w:num w:numId="5" w16cid:durableId="1882983433">
    <w:abstractNumId w:val="25"/>
  </w:num>
  <w:num w:numId="6" w16cid:durableId="2004819404">
    <w:abstractNumId w:val="16"/>
  </w:num>
  <w:num w:numId="7" w16cid:durableId="1710495339">
    <w:abstractNumId w:val="9"/>
  </w:num>
  <w:num w:numId="8" w16cid:durableId="616716320">
    <w:abstractNumId w:val="1"/>
  </w:num>
  <w:num w:numId="9" w16cid:durableId="831719789">
    <w:abstractNumId w:val="12"/>
  </w:num>
  <w:num w:numId="10" w16cid:durableId="1701932474">
    <w:abstractNumId w:val="10"/>
  </w:num>
  <w:num w:numId="11" w16cid:durableId="163865071">
    <w:abstractNumId w:val="14"/>
  </w:num>
  <w:num w:numId="12" w16cid:durableId="1194464654">
    <w:abstractNumId w:val="3"/>
  </w:num>
  <w:num w:numId="13" w16cid:durableId="4787585">
    <w:abstractNumId w:val="7"/>
  </w:num>
  <w:num w:numId="14" w16cid:durableId="537546382">
    <w:abstractNumId w:val="18"/>
  </w:num>
  <w:num w:numId="15" w16cid:durableId="201409622">
    <w:abstractNumId w:val="13"/>
  </w:num>
  <w:num w:numId="16" w16cid:durableId="1083643095">
    <w:abstractNumId w:val="4"/>
  </w:num>
  <w:num w:numId="17" w16cid:durableId="1702515241">
    <w:abstractNumId w:val="11"/>
  </w:num>
  <w:num w:numId="18" w16cid:durableId="71397367">
    <w:abstractNumId w:val="26"/>
  </w:num>
  <w:num w:numId="19" w16cid:durableId="71315586">
    <w:abstractNumId w:val="21"/>
  </w:num>
  <w:num w:numId="20" w16cid:durableId="682635896">
    <w:abstractNumId w:val="6"/>
  </w:num>
  <w:num w:numId="21" w16cid:durableId="33432384">
    <w:abstractNumId w:val="5"/>
  </w:num>
  <w:num w:numId="22" w16cid:durableId="967204485">
    <w:abstractNumId w:val="22"/>
  </w:num>
  <w:num w:numId="23" w16cid:durableId="1460031118">
    <w:abstractNumId w:val="24"/>
  </w:num>
  <w:num w:numId="24" w16cid:durableId="96406880">
    <w:abstractNumId w:val="20"/>
  </w:num>
  <w:num w:numId="25" w16cid:durableId="1952275867">
    <w:abstractNumId w:val="15"/>
  </w:num>
  <w:num w:numId="26" w16cid:durableId="1299921589">
    <w:abstractNumId w:val="23"/>
  </w:num>
  <w:num w:numId="27" w16cid:durableId="832590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8D"/>
    <w:rsid w:val="00000E9D"/>
    <w:rsid w:val="00014A4F"/>
    <w:rsid w:val="000206F2"/>
    <w:rsid w:val="00024B8E"/>
    <w:rsid w:val="000320A4"/>
    <w:rsid w:val="000320A7"/>
    <w:rsid w:val="00032B0C"/>
    <w:rsid w:val="0003378A"/>
    <w:rsid w:val="00034631"/>
    <w:rsid w:val="000359E6"/>
    <w:rsid w:val="00035C40"/>
    <w:rsid w:val="000378A0"/>
    <w:rsid w:val="00044A50"/>
    <w:rsid w:val="00046A12"/>
    <w:rsid w:val="000534E8"/>
    <w:rsid w:val="0006116C"/>
    <w:rsid w:val="00064A86"/>
    <w:rsid w:val="0007267E"/>
    <w:rsid w:val="00074E93"/>
    <w:rsid w:val="00075437"/>
    <w:rsid w:val="00081F10"/>
    <w:rsid w:val="00091510"/>
    <w:rsid w:val="000A33DB"/>
    <w:rsid w:val="000A3A9E"/>
    <w:rsid w:val="000A4AD6"/>
    <w:rsid w:val="000A56DD"/>
    <w:rsid w:val="000B261F"/>
    <w:rsid w:val="000C5CCA"/>
    <w:rsid w:val="000C61FD"/>
    <w:rsid w:val="000D73AE"/>
    <w:rsid w:val="000D7B67"/>
    <w:rsid w:val="000E2A1A"/>
    <w:rsid w:val="000E2E9E"/>
    <w:rsid w:val="000F0D7E"/>
    <w:rsid w:val="000F1719"/>
    <w:rsid w:val="000F2D1A"/>
    <w:rsid w:val="000F39E9"/>
    <w:rsid w:val="000F6F54"/>
    <w:rsid w:val="00100D06"/>
    <w:rsid w:val="00107DBB"/>
    <w:rsid w:val="00110C8F"/>
    <w:rsid w:val="00121867"/>
    <w:rsid w:val="00127529"/>
    <w:rsid w:val="001344A1"/>
    <w:rsid w:val="00147703"/>
    <w:rsid w:val="001537B4"/>
    <w:rsid w:val="001537E6"/>
    <w:rsid w:val="00156BB1"/>
    <w:rsid w:val="00165EFD"/>
    <w:rsid w:val="001853E7"/>
    <w:rsid w:val="00187FEB"/>
    <w:rsid w:val="00190FD3"/>
    <w:rsid w:val="00192B49"/>
    <w:rsid w:val="00192F59"/>
    <w:rsid w:val="0019581B"/>
    <w:rsid w:val="00196BAE"/>
    <w:rsid w:val="00196C17"/>
    <w:rsid w:val="001A0876"/>
    <w:rsid w:val="001A6CEA"/>
    <w:rsid w:val="001C5BF9"/>
    <w:rsid w:val="001C6B60"/>
    <w:rsid w:val="001D5A68"/>
    <w:rsid w:val="001D70C5"/>
    <w:rsid w:val="001D7351"/>
    <w:rsid w:val="001D792B"/>
    <w:rsid w:val="001E4BA6"/>
    <w:rsid w:val="001F0EF9"/>
    <w:rsid w:val="001F342A"/>
    <w:rsid w:val="001F61A9"/>
    <w:rsid w:val="00203DEF"/>
    <w:rsid w:val="00207B68"/>
    <w:rsid w:val="00211145"/>
    <w:rsid w:val="00216942"/>
    <w:rsid w:val="002214E0"/>
    <w:rsid w:val="00221851"/>
    <w:rsid w:val="00225E26"/>
    <w:rsid w:val="002268A5"/>
    <w:rsid w:val="00227F8C"/>
    <w:rsid w:val="002314EB"/>
    <w:rsid w:val="00232766"/>
    <w:rsid w:val="002344AE"/>
    <w:rsid w:val="00241A29"/>
    <w:rsid w:val="002500D2"/>
    <w:rsid w:val="00256496"/>
    <w:rsid w:val="002630CA"/>
    <w:rsid w:val="00273A3C"/>
    <w:rsid w:val="00273BF5"/>
    <w:rsid w:val="00277249"/>
    <w:rsid w:val="00285AC7"/>
    <w:rsid w:val="00293026"/>
    <w:rsid w:val="00294396"/>
    <w:rsid w:val="002A537D"/>
    <w:rsid w:val="002B2DD2"/>
    <w:rsid w:val="002B5273"/>
    <w:rsid w:val="002B5AB2"/>
    <w:rsid w:val="002C043F"/>
    <w:rsid w:val="002C31AD"/>
    <w:rsid w:val="002C4E5C"/>
    <w:rsid w:val="002D5074"/>
    <w:rsid w:val="002D5644"/>
    <w:rsid w:val="002E0480"/>
    <w:rsid w:val="002E0EA3"/>
    <w:rsid w:val="002E2C33"/>
    <w:rsid w:val="002E30F4"/>
    <w:rsid w:val="002E4AD6"/>
    <w:rsid w:val="002F3941"/>
    <w:rsid w:val="002F6AF9"/>
    <w:rsid w:val="003000D1"/>
    <w:rsid w:val="003046DC"/>
    <w:rsid w:val="0030788B"/>
    <w:rsid w:val="003100E8"/>
    <w:rsid w:val="00314924"/>
    <w:rsid w:val="00323DCF"/>
    <w:rsid w:val="00332DCA"/>
    <w:rsid w:val="00342784"/>
    <w:rsid w:val="00345D22"/>
    <w:rsid w:val="0034733F"/>
    <w:rsid w:val="00350CDA"/>
    <w:rsid w:val="00355787"/>
    <w:rsid w:val="0035610E"/>
    <w:rsid w:val="003679FA"/>
    <w:rsid w:val="0037417E"/>
    <w:rsid w:val="00381977"/>
    <w:rsid w:val="003833D9"/>
    <w:rsid w:val="00386F67"/>
    <w:rsid w:val="00387672"/>
    <w:rsid w:val="00391C15"/>
    <w:rsid w:val="0039688D"/>
    <w:rsid w:val="003A0CFE"/>
    <w:rsid w:val="003A1F61"/>
    <w:rsid w:val="003A3360"/>
    <w:rsid w:val="003A4174"/>
    <w:rsid w:val="003B06B7"/>
    <w:rsid w:val="003B50A7"/>
    <w:rsid w:val="003C22B8"/>
    <w:rsid w:val="003C72C9"/>
    <w:rsid w:val="003C7622"/>
    <w:rsid w:val="003D1986"/>
    <w:rsid w:val="003E2E15"/>
    <w:rsid w:val="003F6A46"/>
    <w:rsid w:val="00403445"/>
    <w:rsid w:val="00404CBF"/>
    <w:rsid w:val="00405871"/>
    <w:rsid w:val="00406706"/>
    <w:rsid w:val="00407A3D"/>
    <w:rsid w:val="004101B3"/>
    <w:rsid w:val="00416F34"/>
    <w:rsid w:val="004170BB"/>
    <w:rsid w:val="004234D5"/>
    <w:rsid w:val="00424D38"/>
    <w:rsid w:val="00425D13"/>
    <w:rsid w:val="00426D8D"/>
    <w:rsid w:val="00433901"/>
    <w:rsid w:val="0044634E"/>
    <w:rsid w:val="0045294F"/>
    <w:rsid w:val="0045530A"/>
    <w:rsid w:val="00457F86"/>
    <w:rsid w:val="00460349"/>
    <w:rsid w:val="00470EA6"/>
    <w:rsid w:val="0047307C"/>
    <w:rsid w:val="00475756"/>
    <w:rsid w:val="00477264"/>
    <w:rsid w:val="00483441"/>
    <w:rsid w:val="004961F1"/>
    <w:rsid w:val="00496F7B"/>
    <w:rsid w:val="0049753B"/>
    <w:rsid w:val="00497741"/>
    <w:rsid w:val="004A3531"/>
    <w:rsid w:val="004B1C7F"/>
    <w:rsid w:val="004C54B1"/>
    <w:rsid w:val="004D1339"/>
    <w:rsid w:val="004D479C"/>
    <w:rsid w:val="004D6020"/>
    <w:rsid w:val="004D73D3"/>
    <w:rsid w:val="004D7DE6"/>
    <w:rsid w:val="004D7E31"/>
    <w:rsid w:val="004E1039"/>
    <w:rsid w:val="004F2841"/>
    <w:rsid w:val="004F4172"/>
    <w:rsid w:val="00501F56"/>
    <w:rsid w:val="00503132"/>
    <w:rsid w:val="005055B4"/>
    <w:rsid w:val="00514FF8"/>
    <w:rsid w:val="0052795A"/>
    <w:rsid w:val="00535FF4"/>
    <w:rsid w:val="00537DBF"/>
    <w:rsid w:val="00544633"/>
    <w:rsid w:val="005449B7"/>
    <w:rsid w:val="00544ADF"/>
    <w:rsid w:val="005515E0"/>
    <w:rsid w:val="0055260A"/>
    <w:rsid w:val="00562250"/>
    <w:rsid w:val="005644FC"/>
    <w:rsid w:val="00571DBA"/>
    <w:rsid w:val="00577367"/>
    <w:rsid w:val="005825EB"/>
    <w:rsid w:val="00594AEB"/>
    <w:rsid w:val="00597FBD"/>
    <w:rsid w:val="005A1C66"/>
    <w:rsid w:val="005A495F"/>
    <w:rsid w:val="005A4D7D"/>
    <w:rsid w:val="005B4671"/>
    <w:rsid w:val="005B76B7"/>
    <w:rsid w:val="005C0E2C"/>
    <w:rsid w:val="005C0F15"/>
    <w:rsid w:val="005C368D"/>
    <w:rsid w:val="005C5A1A"/>
    <w:rsid w:val="005E02B5"/>
    <w:rsid w:val="005E6CDB"/>
    <w:rsid w:val="006042D1"/>
    <w:rsid w:val="006150F9"/>
    <w:rsid w:val="00617199"/>
    <w:rsid w:val="00622E10"/>
    <w:rsid w:val="006272D0"/>
    <w:rsid w:val="0063289A"/>
    <w:rsid w:val="006335D0"/>
    <w:rsid w:val="006341B8"/>
    <w:rsid w:val="0064144E"/>
    <w:rsid w:val="006478B9"/>
    <w:rsid w:val="0065151D"/>
    <w:rsid w:val="0065349B"/>
    <w:rsid w:val="00661724"/>
    <w:rsid w:val="00673626"/>
    <w:rsid w:val="00677C05"/>
    <w:rsid w:val="00677F99"/>
    <w:rsid w:val="0068076F"/>
    <w:rsid w:val="00687D5A"/>
    <w:rsid w:val="00696D73"/>
    <w:rsid w:val="006A4AF7"/>
    <w:rsid w:val="006A7256"/>
    <w:rsid w:val="006B0A5C"/>
    <w:rsid w:val="006B2490"/>
    <w:rsid w:val="006B4046"/>
    <w:rsid w:val="006C2A46"/>
    <w:rsid w:val="006C6F95"/>
    <w:rsid w:val="006D65CC"/>
    <w:rsid w:val="006E50A7"/>
    <w:rsid w:val="006E6B73"/>
    <w:rsid w:val="006E6C1D"/>
    <w:rsid w:val="006F1E37"/>
    <w:rsid w:val="00700ACC"/>
    <w:rsid w:val="00702725"/>
    <w:rsid w:val="00703266"/>
    <w:rsid w:val="007034B2"/>
    <w:rsid w:val="00705687"/>
    <w:rsid w:val="00705DFE"/>
    <w:rsid w:val="00710E83"/>
    <w:rsid w:val="0071292A"/>
    <w:rsid w:val="00715E41"/>
    <w:rsid w:val="00717965"/>
    <w:rsid w:val="00727034"/>
    <w:rsid w:val="007321BC"/>
    <w:rsid w:val="00744AF7"/>
    <w:rsid w:val="00754B52"/>
    <w:rsid w:val="0075550C"/>
    <w:rsid w:val="007615AF"/>
    <w:rsid w:val="0076169D"/>
    <w:rsid w:val="007758E9"/>
    <w:rsid w:val="007761F7"/>
    <w:rsid w:val="007773AD"/>
    <w:rsid w:val="00795F1F"/>
    <w:rsid w:val="007969A5"/>
    <w:rsid w:val="007A382A"/>
    <w:rsid w:val="007A47E6"/>
    <w:rsid w:val="007C041D"/>
    <w:rsid w:val="007C25F8"/>
    <w:rsid w:val="007C4C58"/>
    <w:rsid w:val="007C53BC"/>
    <w:rsid w:val="007C6706"/>
    <w:rsid w:val="007D23FD"/>
    <w:rsid w:val="007E326E"/>
    <w:rsid w:val="007E388F"/>
    <w:rsid w:val="007F1EC9"/>
    <w:rsid w:val="007F6EDD"/>
    <w:rsid w:val="00813748"/>
    <w:rsid w:val="008221BB"/>
    <w:rsid w:val="008271DE"/>
    <w:rsid w:val="008324AF"/>
    <w:rsid w:val="008403D9"/>
    <w:rsid w:val="00850E08"/>
    <w:rsid w:val="00854438"/>
    <w:rsid w:val="008634A0"/>
    <w:rsid w:val="00874247"/>
    <w:rsid w:val="008757A0"/>
    <w:rsid w:val="00885B0A"/>
    <w:rsid w:val="008868B9"/>
    <w:rsid w:val="008868DA"/>
    <w:rsid w:val="00897854"/>
    <w:rsid w:val="008A2688"/>
    <w:rsid w:val="008A3463"/>
    <w:rsid w:val="008A4A51"/>
    <w:rsid w:val="008A65A3"/>
    <w:rsid w:val="008C4A76"/>
    <w:rsid w:val="008C51CD"/>
    <w:rsid w:val="008C66E7"/>
    <w:rsid w:val="008C70AE"/>
    <w:rsid w:val="008E0E29"/>
    <w:rsid w:val="008E4704"/>
    <w:rsid w:val="008F144A"/>
    <w:rsid w:val="00901F91"/>
    <w:rsid w:val="00906234"/>
    <w:rsid w:val="00913F13"/>
    <w:rsid w:val="009271CE"/>
    <w:rsid w:val="009402DA"/>
    <w:rsid w:val="00940A8F"/>
    <w:rsid w:val="00943C48"/>
    <w:rsid w:val="00953AFA"/>
    <w:rsid w:val="00954B1C"/>
    <w:rsid w:val="009557D2"/>
    <w:rsid w:val="00966381"/>
    <w:rsid w:val="009753BA"/>
    <w:rsid w:val="009815A7"/>
    <w:rsid w:val="009836FF"/>
    <w:rsid w:val="00987267"/>
    <w:rsid w:val="009901F2"/>
    <w:rsid w:val="00996EC6"/>
    <w:rsid w:val="009974D2"/>
    <w:rsid w:val="009A6265"/>
    <w:rsid w:val="009B4667"/>
    <w:rsid w:val="009B746E"/>
    <w:rsid w:val="009C043E"/>
    <w:rsid w:val="009C326D"/>
    <w:rsid w:val="009C5BA1"/>
    <w:rsid w:val="009D088D"/>
    <w:rsid w:val="009D1F0E"/>
    <w:rsid w:val="009D3D9E"/>
    <w:rsid w:val="009D73EE"/>
    <w:rsid w:val="009E272C"/>
    <w:rsid w:val="009E409B"/>
    <w:rsid w:val="009E57F3"/>
    <w:rsid w:val="009F4289"/>
    <w:rsid w:val="00A0325D"/>
    <w:rsid w:val="00A05DB8"/>
    <w:rsid w:val="00A10D11"/>
    <w:rsid w:val="00A1716B"/>
    <w:rsid w:val="00A21782"/>
    <w:rsid w:val="00A26A9A"/>
    <w:rsid w:val="00A3442E"/>
    <w:rsid w:val="00A37675"/>
    <w:rsid w:val="00A40610"/>
    <w:rsid w:val="00A41F74"/>
    <w:rsid w:val="00A437F8"/>
    <w:rsid w:val="00A443F4"/>
    <w:rsid w:val="00A54127"/>
    <w:rsid w:val="00A566D3"/>
    <w:rsid w:val="00A57289"/>
    <w:rsid w:val="00A62B73"/>
    <w:rsid w:val="00A70668"/>
    <w:rsid w:val="00A70C68"/>
    <w:rsid w:val="00A71EF5"/>
    <w:rsid w:val="00A742D1"/>
    <w:rsid w:val="00A76EBC"/>
    <w:rsid w:val="00A848FC"/>
    <w:rsid w:val="00A876B2"/>
    <w:rsid w:val="00A918C6"/>
    <w:rsid w:val="00A94B6A"/>
    <w:rsid w:val="00A95F3E"/>
    <w:rsid w:val="00A97BF3"/>
    <w:rsid w:val="00A97D06"/>
    <w:rsid w:val="00AA7283"/>
    <w:rsid w:val="00AB2D7E"/>
    <w:rsid w:val="00AB61F6"/>
    <w:rsid w:val="00AC10AA"/>
    <w:rsid w:val="00AC1D79"/>
    <w:rsid w:val="00AC5E16"/>
    <w:rsid w:val="00AC61B2"/>
    <w:rsid w:val="00AC6562"/>
    <w:rsid w:val="00AD38E8"/>
    <w:rsid w:val="00AD68E1"/>
    <w:rsid w:val="00AE2A55"/>
    <w:rsid w:val="00AF0171"/>
    <w:rsid w:val="00AF243E"/>
    <w:rsid w:val="00AF4709"/>
    <w:rsid w:val="00B107D3"/>
    <w:rsid w:val="00B121DC"/>
    <w:rsid w:val="00B1375B"/>
    <w:rsid w:val="00B141D4"/>
    <w:rsid w:val="00B14FC2"/>
    <w:rsid w:val="00B176BD"/>
    <w:rsid w:val="00B2067A"/>
    <w:rsid w:val="00B20DE5"/>
    <w:rsid w:val="00B33E52"/>
    <w:rsid w:val="00B35C12"/>
    <w:rsid w:val="00B3610F"/>
    <w:rsid w:val="00B44ADB"/>
    <w:rsid w:val="00B53613"/>
    <w:rsid w:val="00B627FC"/>
    <w:rsid w:val="00B66965"/>
    <w:rsid w:val="00B66D9A"/>
    <w:rsid w:val="00B673F2"/>
    <w:rsid w:val="00B70DFE"/>
    <w:rsid w:val="00B72651"/>
    <w:rsid w:val="00B7699C"/>
    <w:rsid w:val="00B77681"/>
    <w:rsid w:val="00B81495"/>
    <w:rsid w:val="00B8487C"/>
    <w:rsid w:val="00B90723"/>
    <w:rsid w:val="00B91332"/>
    <w:rsid w:val="00B957F7"/>
    <w:rsid w:val="00BA48FB"/>
    <w:rsid w:val="00BB3687"/>
    <w:rsid w:val="00BC611F"/>
    <w:rsid w:val="00BC6E3B"/>
    <w:rsid w:val="00BC6F21"/>
    <w:rsid w:val="00BD0937"/>
    <w:rsid w:val="00BD3535"/>
    <w:rsid w:val="00BD5CBD"/>
    <w:rsid w:val="00BD64B5"/>
    <w:rsid w:val="00BE0DB8"/>
    <w:rsid w:val="00BE17EF"/>
    <w:rsid w:val="00BE38A3"/>
    <w:rsid w:val="00BF1682"/>
    <w:rsid w:val="00BF28CD"/>
    <w:rsid w:val="00BF41EF"/>
    <w:rsid w:val="00BF5927"/>
    <w:rsid w:val="00BF5AE1"/>
    <w:rsid w:val="00C07AFB"/>
    <w:rsid w:val="00C11764"/>
    <w:rsid w:val="00C1208A"/>
    <w:rsid w:val="00C161EA"/>
    <w:rsid w:val="00C16BA8"/>
    <w:rsid w:val="00C21837"/>
    <w:rsid w:val="00C22B6C"/>
    <w:rsid w:val="00C3116F"/>
    <w:rsid w:val="00C331C9"/>
    <w:rsid w:val="00C338B2"/>
    <w:rsid w:val="00C33919"/>
    <w:rsid w:val="00C3547C"/>
    <w:rsid w:val="00C35620"/>
    <w:rsid w:val="00C45C35"/>
    <w:rsid w:val="00C51A0C"/>
    <w:rsid w:val="00C51E78"/>
    <w:rsid w:val="00C52BC1"/>
    <w:rsid w:val="00C63B0E"/>
    <w:rsid w:val="00C74908"/>
    <w:rsid w:val="00C80D44"/>
    <w:rsid w:val="00C83B22"/>
    <w:rsid w:val="00C84623"/>
    <w:rsid w:val="00C96F85"/>
    <w:rsid w:val="00CA22F9"/>
    <w:rsid w:val="00CB1FD7"/>
    <w:rsid w:val="00CB3F12"/>
    <w:rsid w:val="00CB5EEE"/>
    <w:rsid w:val="00CF3D8F"/>
    <w:rsid w:val="00D051D1"/>
    <w:rsid w:val="00D05794"/>
    <w:rsid w:val="00D110AD"/>
    <w:rsid w:val="00D117A6"/>
    <w:rsid w:val="00D14A4F"/>
    <w:rsid w:val="00D2126E"/>
    <w:rsid w:val="00D212B8"/>
    <w:rsid w:val="00D240CE"/>
    <w:rsid w:val="00D2438A"/>
    <w:rsid w:val="00D27EA1"/>
    <w:rsid w:val="00D53B54"/>
    <w:rsid w:val="00D5538F"/>
    <w:rsid w:val="00D5705E"/>
    <w:rsid w:val="00D719E3"/>
    <w:rsid w:val="00D76789"/>
    <w:rsid w:val="00D8664F"/>
    <w:rsid w:val="00D87FE0"/>
    <w:rsid w:val="00D96D31"/>
    <w:rsid w:val="00DA37E9"/>
    <w:rsid w:val="00DA6300"/>
    <w:rsid w:val="00DA75A2"/>
    <w:rsid w:val="00DA7FF5"/>
    <w:rsid w:val="00DB2631"/>
    <w:rsid w:val="00DB39A2"/>
    <w:rsid w:val="00DB645E"/>
    <w:rsid w:val="00DB66B0"/>
    <w:rsid w:val="00DC672C"/>
    <w:rsid w:val="00DF0B3B"/>
    <w:rsid w:val="00DF1CFA"/>
    <w:rsid w:val="00DF73FB"/>
    <w:rsid w:val="00E0658B"/>
    <w:rsid w:val="00E071B5"/>
    <w:rsid w:val="00E10759"/>
    <w:rsid w:val="00E25937"/>
    <w:rsid w:val="00E32405"/>
    <w:rsid w:val="00E3522C"/>
    <w:rsid w:val="00E3592E"/>
    <w:rsid w:val="00E36DF5"/>
    <w:rsid w:val="00E45D30"/>
    <w:rsid w:val="00E467BB"/>
    <w:rsid w:val="00E51EB7"/>
    <w:rsid w:val="00E631AB"/>
    <w:rsid w:val="00E64296"/>
    <w:rsid w:val="00E667F7"/>
    <w:rsid w:val="00E73989"/>
    <w:rsid w:val="00E75A2C"/>
    <w:rsid w:val="00E81C46"/>
    <w:rsid w:val="00E904DA"/>
    <w:rsid w:val="00E91604"/>
    <w:rsid w:val="00E922D1"/>
    <w:rsid w:val="00E97602"/>
    <w:rsid w:val="00EA152E"/>
    <w:rsid w:val="00EA1F7D"/>
    <w:rsid w:val="00EA59AF"/>
    <w:rsid w:val="00EB33D8"/>
    <w:rsid w:val="00EB3CCA"/>
    <w:rsid w:val="00EB7AD2"/>
    <w:rsid w:val="00EC0D24"/>
    <w:rsid w:val="00EC27C0"/>
    <w:rsid w:val="00EC37BA"/>
    <w:rsid w:val="00EC48FE"/>
    <w:rsid w:val="00EF6E31"/>
    <w:rsid w:val="00F02C5A"/>
    <w:rsid w:val="00F16FD8"/>
    <w:rsid w:val="00F26928"/>
    <w:rsid w:val="00F346DB"/>
    <w:rsid w:val="00F36E54"/>
    <w:rsid w:val="00F4202F"/>
    <w:rsid w:val="00F435B9"/>
    <w:rsid w:val="00F44FBB"/>
    <w:rsid w:val="00F45086"/>
    <w:rsid w:val="00F458D1"/>
    <w:rsid w:val="00F5069C"/>
    <w:rsid w:val="00F51AD1"/>
    <w:rsid w:val="00F52A4D"/>
    <w:rsid w:val="00F542F2"/>
    <w:rsid w:val="00F607CE"/>
    <w:rsid w:val="00F67466"/>
    <w:rsid w:val="00F77E33"/>
    <w:rsid w:val="00F9070D"/>
    <w:rsid w:val="00FA11BB"/>
    <w:rsid w:val="00FA4C17"/>
    <w:rsid w:val="00FB46D5"/>
    <w:rsid w:val="00FD1531"/>
    <w:rsid w:val="00FD4BFD"/>
    <w:rsid w:val="00FD4C6A"/>
    <w:rsid w:val="00FE11D5"/>
    <w:rsid w:val="00FF1339"/>
    <w:rsid w:val="00FF4D0A"/>
    <w:rsid w:val="00FF67FD"/>
    <w:rsid w:val="09426529"/>
    <w:rsid w:val="0F4B7A90"/>
    <w:rsid w:val="0F850872"/>
    <w:rsid w:val="0F93D976"/>
    <w:rsid w:val="0FDCC775"/>
    <w:rsid w:val="108EF691"/>
    <w:rsid w:val="121855AD"/>
    <w:rsid w:val="155C60BF"/>
    <w:rsid w:val="1A9570AB"/>
    <w:rsid w:val="1F8FEA9C"/>
    <w:rsid w:val="21587324"/>
    <w:rsid w:val="2A107D86"/>
    <w:rsid w:val="31CE71C7"/>
    <w:rsid w:val="3494C148"/>
    <w:rsid w:val="3593FDDA"/>
    <w:rsid w:val="37B90909"/>
    <w:rsid w:val="39DE301E"/>
    <w:rsid w:val="3A436361"/>
    <w:rsid w:val="40110703"/>
    <w:rsid w:val="44667DEC"/>
    <w:rsid w:val="4A1E6015"/>
    <w:rsid w:val="4A6CFFA4"/>
    <w:rsid w:val="4C705D09"/>
    <w:rsid w:val="50FB0841"/>
    <w:rsid w:val="52B41ECF"/>
    <w:rsid w:val="58ACC4EE"/>
    <w:rsid w:val="5AED3E87"/>
    <w:rsid w:val="5BFE5BD0"/>
    <w:rsid w:val="62E2F9EC"/>
    <w:rsid w:val="68CBE1FA"/>
    <w:rsid w:val="6A20EB94"/>
    <w:rsid w:val="6D9BCA3E"/>
    <w:rsid w:val="705AFF3A"/>
    <w:rsid w:val="74B46DF1"/>
    <w:rsid w:val="7701C8E2"/>
    <w:rsid w:val="77AAA311"/>
    <w:rsid w:val="77D3B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16D26"/>
  <w15:chartTrackingRefBased/>
  <w15:docId w15:val="{3E6D17C1-E348-4785-9122-2AB5AB0B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0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0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0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0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88D"/>
    <w:rPr>
      <w:rFonts w:eastAsiaTheme="majorEastAsia" w:cstheme="majorBidi"/>
      <w:color w:val="272727" w:themeColor="text1" w:themeTint="D8"/>
    </w:rPr>
  </w:style>
  <w:style w:type="paragraph" w:styleId="Title">
    <w:name w:val="Title"/>
    <w:basedOn w:val="Normal"/>
    <w:next w:val="Normal"/>
    <w:link w:val="TitleChar"/>
    <w:uiPriority w:val="10"/>
    <w:qFormat/>
    <w:rsid w:val="009D0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88D"/>
    <w:pPr>
      <w:spacing w:before="160"/>
      <w:jc w:val="center"/>
    </w:pPr>
    <w:rPr>
      <w:i/>
      <w:iCs/>
      <w:color w:val="404040" w:themeColor="text1" w:themeTint="BF"/>
    </w:rPr>
  </w:style>
  <w:style w:type="character" w:customStyle="1" w:styleId="QuoteChar">
    <w:name w:val="Quote Char"/>
    <w:basedOn w:val="DefaultParagraphFont"/>
    <w:link w:val="Quote"/>
    <w:uiPriority w:val="29"/>
    <w:rsid w:val="009D088D"/>
    <w:rPr>
      <w:i/>
      <w:iCs/>
      <w:color w:val="404040" w:themeColor="text1" w:themeTint="BF"/>
    </w:rPr>
  </w:style>
  <w:style w:type="paragraph" w:styleId="ListParagraph">
    <w:name w:val="List Paragraph"/>
    <w:basedOn w:val="Normal"/>
    <w:uiPriority w:val="34"/>
    <w:qFormat/>
    <w:rsid w:val="009D088D"/>
    <w:pPr>
      <w:ind w:left="720"/>
      <w:contextualSpacing/>
    </w:pPr>
  </w:style>
  <w:style w:type="character" w:styleId="IntenseEmphasis">
    <w:name w:val="Intense Emphasis"/>
    <w:basedOn w:val="DefaultParagraphFont"/>
    <w:uiPriority w:val="21"/>
    <w:qFormat/>
    <w:rsid w:val="009D088D"/>
    <w:rPr>
      <w:i/>
      <w:iCs/>
      <w:color w:val="0F4761" w:themeColor="accent1" w:themeShade="BF"/>
    </w:rPr>
  </w:style>
  <w:style w:type="paragraph" w:styleId="IntenseQuote">
    <w:name w:val="Intense Quote"/>
    <w:basedOn w:val="Normal"/>
    <w:next w:val="Normal"/>
    <w:link w:val="IntenseQuoteChar"/>
    <w:uiPriority w:val="30"/>
    <w:qFormat/>
    <w:rsid w:val="009D0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88D"/>
    <w:rPr>
      <w:i/>
      <w:iCs/>
      <w:color w:val="0F4761" w:themeColor="accent1" w:themeShade="BF"/>
    </w:rPr>
  </w:style>
  <w:style w:type="character" w:styleId="IntenseReference">
    <w:name w:val="Intense Reference"/>
    <w:basedOn w:val="DefaultParagraphFont"/>
    <w:uiPriority w:val="32"/>
    <w:qFormat/>
    <w:rsid w:val="009D088D"/>
    <w:rPr>
      <w:b/>
      <w:bCs/>
      <w:smallCaps/>
      <w:color w:val="0F4761" w:themeColor="accent1" w:themeShade="BF"/>
      <w:spacing w:val="5"/>
    </w:rPr>
  </w:style>
  <w:style w:type="character" w:styleId="Hyperlink">
    <w:name w:val="Hyperlink"/>
    <w:basedOn w:val="DefaultParagraphFont"/>
    <w:uiPriority w:val="99"/>
    <w:unhideWhenUsed/>
    <w:rsid w:val="005825EB"/>
    <w:rPr>
      <w:color w:val="467886" w:themeColor="hyperlink"/>
      <w:u w:val="single"/>
    </w:rPr>
  </w:style>
  <w:style w:type="character" w:styleId="UnresolvedMention">
    <w:name w:val="Unresolved Mention"/>
    <w:basedOn w:val="DefaultParagraphFont"/>
    <w:uiPriority w:val="99"/>
    <w:semiHidden/>
    <w:unhideWhenUsed/>
    <w:rsid w:val="005825EB"/>
    <w:rPr>
      <w:color w:val="605E5C"/>
      <w:shd w:val="clear" w:color="auto" w:fill="E1DFDD"/>
    </w:rPr>
  </w:style>
  <w:style w:type="paragraph" w:styleId="TOCHeading">
    <w:name w:val="TOC Heading"/>
    <w:basedOn w:val="Heading1"/>
    <w:next w:val="Normal"/>
    <w:uiPriority w:val="39"/>
    <w:unhideWhenUsed/>
    <w:qFormat/>
    <w:rsid w:val="008868DA"/>
    <w:pPr>
      <w:spacing w:before="240" w:after="0" w:line="240" w:lineRule="auto"/>
      <w:outlineLvl w:val="9"/>
    </w:pPr>
    <w:rPr>
      <w:rFonts w:ascii="Arial" w:eastAsia="Times New Roman" w:hAnsi="Arial" w:cs="Arial"/>
      <w:b/>
      <w:color w:val="404040"/>
      <w:kern w:val="0"/>
      <w:sz w:val="32"/>
      <w:szCs w:val="32"/>
      <w:lang w:val="en-US" w:eastAsia="en-GB"/>
      <w14:ligatures w14:val="none"/>
    </w:rPr>
  </w:style>
  <w:style w:type="paragraph" w:styleId="TOC1">
    <w:name w:val="toc 1"/>
    <w:basedOn w:val="Normal"/>
    <w:next w:val="Normal"/>
    <w:autoRedefine/>
    <w:uiPriority w:val="39"/>
    <w:unhideWhenUsed/>
    <w:rsid w:val="008868DA"/>
    <w:pPr>
      <w:spacing w:after="100" w:line="259" w:lineRule="auto"/>
    </w:pPr>
    <w:rPr>
      <w:sz w:val="22"/>
      <w:szCs w:val="22"/>
    </w:rPr>
  </w:style>
  <w:style w:type="paragraph" w:styleId="TOC2">
    <w:name w:val="toc 2"/>
    <w:basedOn w:val="Normal"/>
    <w:next w:val="Normal"/>
    <w:autoRedefine/>
    <w:uiPriority w:val="39"/>
    <w:unhideWhenUsed/>
    <w:rsid w:val="008868DA"/>
    <w:pPr>
      <w:spacing w:after="100" w:line="259" w:lineRule="auto"/>
      <w:ind w:left="220"/>
    </w:pPr>
    <w:rPr>
      <w:sz w:val="22"/>
      <w:szCs w:val="22"/>
    </w:rPr>
  </w:style>
  <w:style w:type="paragraph" w:styleId="TOC3">
    <w:name w:val="toc 3"/>
    <w:basedOn w:val="Normal"/>
    <w:next w:val="Normal"/>
    <w:autoRedefine/>
    <w:uiPriority w:val="39"/>
    <w:unhideWhenUsed/>
    <w:rsid w:val="008868DA"/>
    <w:pPr>
      <w:spacing w:after="100" w:line="259" w:lineRule="auto"/>
      <w:ind w:left="440"/>
    </w:pPr>
    <w:rPr>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3687"/>
    <w:pPr>
      <w:spacing w:after="0" w:line="240" w:lineRule="auto"/>
    </w:pPr>
  </w:style>
  <w:style w:type="character" w:styleId="FollowedHyperlink">
    <w:name w:val="FollowedHyperlink"/>
    <w:basedOn w:val="DefaultParagraphFont"/>
    <w:uiPriority w:val="99"/>
    <w:semiHidden/>
    <w:unhideWhenUsed/>
    <w:rsid w:val="003078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398102">
      <w:bodyDiv w:val="1"/>
      <w:marLeft w:val="0"/>
      <w:marRight w:val="0"/>
      <w:marTop w:val="0"/>
      <w:marBottom w:val="0"/>
      <w:divBdr>
        <w:top w:val="none" w:sz="0" w:space="0" w:color="auto"/>
        <w:left w:val="none" w:sz="0" w:space="0" w:color="auto"/>
        <w:bottom w:val="none" w:sz="0" w:space="0" w:color="auto"/>
        <w:right w:val="none" w:sz="0" w:space="0" w:color="auto"/>
      </w:divBdr>
    </w:div>
    <w:div w:id="9658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reports/disability/people-with-disability-in-australia/contents/people-with-disability/prevalence-of-disability" TargetMode="External"/><Relationship Id="rId18" Type="http://schemas.openxmlformats.org/officeDocument/2006/relationships/hyperlink" Target="http://www.w3.org/People/Berners-Lee/" TargetMode="External"/><Relationship Id="rId3" Type="http://schemas.openxmlformats.org/officeDocument/2006/relationships/customXml" Target="../customXml/item3.xml"/><Relationship Id="rId21" Type="http://schemas.openxmlformats.org/officeDocument/2006/relationships/hyperlink" Target="http://www.w3.org/WAI/intro/people-use-web/" TargetMode="External"/><Relationship Id="rId7" Type="http://schemas.openxmlformats.org/officeDocument/2006/relationships/settings" Target="settings.xml"/><Relationship Id="rId12" Type="http://schemas.openxmlformats.org/officeDocument/2006/relationships/hyperlink" Target="https://www.accessibility.org.au/" TargetMode="External"/><Relationship Id="rId17" Type="http://schemas.openxmlformats.org/officeDocument/2006/relationships/hyperlink" Target="https://ro.ecu.edu.au/theses/14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pace.curtin.edu.au/handle/20.500.11937/214" TargetMode="External"/><Relationship Id="rId20" Type="http://schemas.openxmlformats.org/officeDocument/2006/relationships/hyperlink" Target="https://www.dta.gov.au/digital-government-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an.org.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ma.gov.au/sites/default/files/2023-12/Trends%20and%20developments%20in%20telecommunications%202022-23_0.pdf" TargetMode="External"/><Relationship Id="rId23" Type="http://schemas.openxmlformats.org/officeDocument/2006/relationships/hyperlink" Target="https://www.acma.gov.au/acmas-rules-id-checks-prepaid-mobiles" TargetMode="External"/><Relationship Id="rId10" Type="http://schemas.openxmlformats.org/officeDocument/2006/relationships/image" Target="media/image1.png"/><Relationship Id="rId19" Type="http://schemas.openxmlformats.org/officeDocument/2006/relationships/hyperlink" Target="http://www.w3.org/standards/webdesign/accessibility" TargetMode="External"/><Relationship Id="rId4" Type="http://schemas.openxmlformats.org/officeDocument/2006/relationships/customXml" Target="../customXml/item4.xml"/><Relationship Id="rId9" Type="http://schemas.openxmlformats.org/officeDocument/2006/relationships/hyperlink" Target="https://www.accessibility.org.au/" TargetMode="External"/><Relationship Id="rId14" Type="http://schemas.openxmlformats.org/officeDocument/2006/relationships/hyperlink" Target="https://www.abs.gov.au/articles/use-information-technology-people-disability-older-people-and-primary-carers" TargetMode="External"/><Relationship Id="rId22" Type="http://schemas.openxmlformats.org/officeDocument/2006/relationships/hyperlink" Target="https://www.legislation.gov.au/F2022L00548/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2a8ee-e1bc-4566-831b-863d72aa973f">
      <Terms xmlns="http://schemas.microsoft.com/office/infopath/2007/PartnerControls"/>
    </lcf76f155ced4ddcb4097134ff3c332f>
    <TaxCatchAll xmlns="8e1399f6-c6c4-4271-9063-e5a2496041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03DFEEE2AB7645B44ACEC0756110F6" ma:contentTypeVersion="15" ma:contentTypeDescription="Create a new document." ma:contentTypeScope="" ma:versionID="541ced738a125493d5c29b1752021215">
  <xsd:schema xmlns:xsd="http://www.w3.org/2001/XMLSchema" xmlns:xs="http://www.w3.org/2001/XMLSchema" xmlns:p="http://schemas.microsoft.com/office/2006/metadata/properties" xmlns:ns2="4b62a8ee-e1bc-4566-831b-863d72aa973f" xmlns:ns3="8e1399f6-c6c4-4271-9063-e5a24960414c" targetNamespace="http://schemas.microsoft.com/office/2006/metadata/properties" ma:root="true" ma:fieldsID="e819ceea6d0f07797ba163c71f427f92" ns2:_="" ns3:_="">
    <xsd:import namespace="4b62a8ee-e1bc-4566-831b-863d72aa973f"/>
    <xsd:import namespace="8e1399f6-c6c4-4271-9063-e5a2496041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a8ee-e1bc-4566-831b-863d72aa9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55051-6cf2-4d10-836e-7f606f42190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399f6-c6c4-4271-9063-e5a249604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b7a36-194a-409d-a52e-1a79024be82c}" ma:internalName="TaxCatchAll" ma:showField="CatchAllData" ma:web="8e1399f6-c6c4-4271-9063-e5a249604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03B04-240D-4C51-8057-DCF4AEB894A2}">
  <ds:schemaRefs>
    <ds:schemaRef ds:uri="http://schemas.microsoft.com/office/2006/metadata/properties"/>
    <ds:schemaRef ds:uri="http://schemas.microsoft.com/office/infopath/2007/PartnerControls"/>
    <ds:schemaRef ds:uri="4b62a8ee-e1bc-4566-831b-863d72aa973f"/>
    <ds:schemaRef ds:uri="8e1399f6-c6c4-4271-9063-e5a24960414c"/>
  </ds:schemaRefs>
</ds:datastoreItem>
</file>

<file path=customXml/itemProps2.xml><?xml version="1.0" encoding="utf-8"?>
<ds:datastoreItem xmlns:ds="http://schemas.openxmlformats.org/officeDocument/2006/customXml" ds:itemID="{079F3EB4-74BC-4608-B1DF-071B0C638114}">
  <ds:schemaRefs>
    <ds:schemaRef ds:uri="http://schemas.microsoft.com/sharepoint/v3/contenttype/forms"/>
  </ds:schemaRefs>
</ds:datastoreItem>
</file>

<file path=customXml/itemProps3.xml><?xml version="1.0" encoding="utf-8"?>
<ds:datastoreItem xmlns:ds="http://schemas.openxmlformats.org/officeDocument/2006/customXml" ds:itemID="{58DA3390-5120-4A33-932A-4FE7A1FD0536}">
  <ds:schemaRefs>
    <ds:schemaRef ds:uri="http://schemas.openxmlformats.org/officeDocument/2006/bibliography"/>
  </ds:schemaRefs>
</ds:datastoreItem>
</file>

<file path=customXml/itemProps4.xml><?xml version="1.0" encoding="utf-8"?>
<ds:datastoreItem xmlns:ds="http://schemas.openxmlformats.org/officeDocument/2006/customXml" ds:itemID="{C6B729DC-ACCB-484C-8E46-0F53AA98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a8ee-e1bc-4566-831b-863d72aa973f"/>
    <ds:schemaRef ds:uri="8e1399f6-c6c4-4271-9063-e5a249604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9</Pages>
  <Words>2636</Words>
  <Characters>15029</Characters>
  <Application>Microsoft Office Word</Application>
  <DocSecurity>0</DocSecurity>
  <Lines>125</Lines>
  <Paragraphs>35</Paragraphs>
  <ScaleCrop>false</ScaleCrop>
  <Company/>
  <LinksUpToDate>false</LinksUpToDate>
  <CharactersWithSpaces>17630</CharactersWithSpaces>
  <SharedDoc>false</SharedDoc>
  <HLinks>
    <vt:vector size="156" baseType="variant">
      <vt:variant>
        <vt:i4>393227</vt:i4>
      </vt:variant>
      <vt:variant>
        <vt:i4>123</vt:i4>
      </vt:variant>
      <vt:variant>
        <vt:i4>0</vt:i4>
      </vt:variant>
      <vt:variant>
        <vt:i4>5</vt:i4>
      </vt:variant>
      <vt:variant>
        <vt:lpwstr>https://www.acma.gov.au/acmas-rules-id-checks-prepaid-mobiles</vt:lpwstr>
      </vt:variant>
      <vt:variant>
        <vt:lpwstr/>
      </vt:variant>
      <vt:variant>
        <vt:i4>2424890</vt:i4>
      </vt:variant>
      <vt:variant>
        <vt:i4>117</vt:i4>
      </vt:variant>
      <vt:variant>
        <vt:i4>0</vt:i4>
      </vt:variant>
      <vt:variant>
        <vt:i4>5</vt:i4>
      </vt:variant>
      <vt:variant>
        <vt:lpwstr>https://www.legislation.gov.au/F2022L00548/latest/text</vt:lpwstr>
      </vt:variant>
      <vt:variant>
        <vt:lpwstr/>
      </vt:variant>
      <vt:variant>
        <vt:i4>2556002</vt:i4>
      </vt:variant>
      <vt:variant>
        <vt:i4>114</vt:i4>
      </vt:variant>
      <vt:variant>
        <vt:i4>0</vt:i4>
      </vt:variant>
      <vt:variant>
        <vt:i4>5</vt:i4>
      </vt:variant>
      <vt:variant>
        <vt:lpwstr>http://www.w3.org/WAI/intro/people-use-web/</vt:lpwstr>
      </vt:variant>
      <vt:variant>
        <vt:lpwstr/>
      </vt:variant>
      <vt:variant>
        <vt:i4>7929905</vt:i4>
      </vt:variant>
      <vt:variant>
        <vt:i4>111</vt:i4>
      </vt:variant>
      <vt:variant>
        <vt:i4>0</vt:i4>
      </vt:variant>
      <vt:variant>
        <vt:i4>5</vt:i4>
      </vt:variant>
      <vt:variant>
        <vt:lpwstr>https://www.dta.gov.au/digital-government-strategy</vt:lpwstr>
      </vt:variant>
      <vt:variant>
        <vt:lpwstr/>
      </vt:variant>
      <vt:variant>
        <vt:i4>2752627</vt:i4>
      </vt:variant>
      <vt:variant>
        <vt:i4>108</vt:i4>
      </vt:variant>
      <vt:variant>
        <vt:i4>0</vt:i4>
      </vt:variant>
      <vt:variant>
        <vt:i4>5</vt:i4>
      </vt:variant>
      <vt:variant>
        <vt:lpwstr>http://www.w3.org/standards/webdesign/accessibility</vt:lpwstr>
      </vt:variant>
      <vt:variant>
        <vt:lpwstr/>
      </vt:variant>
      <vt:variant>
        <vt:i4>5242886</vt:i4>
      </vt:variant>
      <vt:variant>
        <vt:i4>105</vt:i4>
      </vt:variant>
      <vt:variant>
        <vt:i4>0</vt:i4>
      </vt:variant>
      <vt:variant>
        <vt:i4>5</vt:i4>
      </vt:variant>
      <vt:variant>
        <vt:lpwstr>http://www.w3.org/People/Berners-Lee/</vt:lpwstr>
      </vt:variant>
      <vt:variant>
        <vt:lpwstr/>
      </vt:variant>
      <vt:variant>
        <vt:i4>7733300</vt:i4>
      </vt:variant>
      <vt:variant>
        <vt:i4>102</vt:i4>
      </vt:variant>
      <vt:variant>
        <vt:i4>0</vt:i4>
      </vt:variant>
      <vt:variant>
        <vt:i4>5</vt:i4>
      </vt:variant>
      <vt:variant>
        <vt:lpwstr>https://ro.ecu.edu.au/theses/1405/</vt:lpwstr>
      </vt:variant>
      <vt:variant>
        <vt:lpwstr/>
      </vt:variant>
      <vt:variant>
        <vt:i4>4587607</vt:i4>
      </vt:variant>
      <vt:variant>
        <vt:i4>99</vt:i4>
      </vt:variant>
      <vt:variant>
        <vt:i4>0</vt:i4>
      </vt:variant>
      <vt:variant>
        <vt:i4>5</vt:i4>
      </vt:variant>
      <vt:variant>
        <vt:lpwstr>https://espace.curtin.edu.au/handle/20.500.11937/214</vt:lpwstr>
      </vt:variant>
      <vt:variant>
        <vt:lpwstr/>
      </vt:variant>
      <vt:variant>
        <vt:i4>5767277</vt:i4>
      </vt:variant>
      <vt:variant>
        <vt:i4>93</vt:i4>
      </vt:variant>
      <vt:variant>
        <vt:i4>0</vt:i4>
      </vt:variant>
      <vt:variant>
        <vt:i4>5</vt:i4>
      </vt:variant>
      <vt:variant>
        <vt:lpwstr>https://www.acma.gov.au/sites/default/files/2023-12/Trends and developments in telecommunications 2022-23_0.pdf</vt:lpwstr>
      </vt:variant>
      <vt:variant>
        <vt:lpwstr>:~:text=Almost%20all%20of%20us%20%2895%25%29%20used%20a%20mobile,internet%20in%202023%20compared%20to%20the%20year%20before.</vt:lpwstr>
      </vt:variant>
      <vt:variant>
        <vt:i4>3670054</vt:i4>
      </vt:variant>
      <vt:variant>
        <vt:i4>90</vt:i4>
      </vt:variant>
      <vt:variant>
        <vt:i4>0</vt:i4>
      </vt:variant>
      <vt:variant>
        <vt:i4>5</vt:i4>
      </vt:variant>
      <vt:variant>
        <vt:lpwstr>https://www.abs.gov.au/articles/use-information-technology-people-disability-older-people-and-primary-carers</vt:lpwstr>
      </vt:variant>
      <vt:variant>
        <vt:lpwstr>:~:text=Back%20to%20top-,Key%20statistics,did%20not%20use%20the%20Internet</vt:lpwstr>
      </vt:variant>
      <vt:variant>
        <vt:i4>8192109</vt:i4>
      </vt:variant>
      <vt:variant>
        <vt:i4>87</vt:i4>
      </vt:variant>
      <vt:variant>
        <vt:i4>0</vt:i4>
      </vt:variant>
      <vt:variant>
        <vt:i4>5</vt:i4>
      </vt:variant>
      <vt:variant>
        <vt:lpwstr>https://www.aihw.gov.au/reports/disability/people-with-disability-in-australia/contents/people-with-disability/prevalence-of-disability</vt:lpwstr>
      </vt:variant>
      <vt:variant>
        <vt:lpwstr/>
      </vt:variant>
      <vt:variant>
        <vt:i4>4194376</vt:i4>
      </vt:variant>
      <vt:variant>
        <vt:i4>84</vt:i4>
      </vt:variant>
      <vt:variant>
        <vt:i4>0</vt:i4>
      </vt:variant>
      <vt:variant>
        <vt:i4>5</vt:i4>
      </vt:variant>
      <vt:variant>
        <vt:lpwstr>https://www.accessibility.org.au/</vt:lpwstr>
      </vt:variant>
      <vt:variant>
        <vt:lpwstr/>
      </vt:variant>
      <vt:variant>
        <vt:i4>1507377</vt:i4>
      </vt:variant>
      <vt:variant>
        <vt:i4>77</vt:i4>
      </vt:variant>
      <vt:variant>
        <vt:i4>0</vt:i4>
      </vt:variant>
      <vt:variant>
        <vt:i4>5</vt:i4>
      </vt:variant>
      <vt:variant>
        <vt:lpwstr/>
      </vt:variant>
      <vt:variant>
        <vt:lpwstr>_Toc177114629</vt:lpwstr>
      </vt:variant>
      <vt:variant>
        <vt:i4>1507377</vt:i4>
      </vt:variant>
      <vt:variant>
        <vt:i4>71</vt:i4>
      </vt:variant>
      <vt:variant>
        <vt:i4>0</vt:i4>
      </vt:variant>
      <vt:variant>
        <vt:i4>5</vt:i4>
      </vt:variant>
      <vt:variant>
        <vt:lpwstr/>
      </vt:variant>
      <vt:variant>
        <vt:lpwstr>_Toc177114628</vt:lpwstr>
      </vt:variant>
      <vt:variant>
        <vt:i4>1507377</vt:i4>
      </vt:variant>
      <vt:variant>
        <vt:i4>65</vt:i4>
      </vt:variant>
      <vt:variant>
        <vt:i4>0</vt:i4>
      </vt:variant>
      <vt:variant>
        <vt:i4>5</vt:i4>
      </vt:variant>
      <vt:variant>
        <vt:lpwstr/>
      </vt:variant>
      <vt:variant>
        <vt:lpwstr>_Toc177114627</vt:lpwstr>
      </vt:variant>
      <vt:variant>
        <vt:i4>1507377</vt:i4>
      </vt:variant>
      <vt:variant>
        <vt:i4>59</vt:i4>
      </vt:variant>
      <vt:variant>
        <vt:i4>0</vt:i4>
      </vt:variant>
      <vt:variant>
        <vt:i4>5</vt:i4>
      </vt:variant>
      <vt:variant>
        <vt:lpwstr/>
      </vt:variant>
      <vt:variant>
        <vt:lpwstr>_Toc177114626</vt:lpwstr>
      </vt:variant>
      <vt:variant>
        <vt:i4>1507377</vt:i4>
      </vt:variant>
      <vt:variant>
        <vt:i4>53</vt:i4>
      </vt:variant>
      <vt:variant>
        <vt:i4>0</vt:i4>
      </vt:variant>
      <vt:variant>
        <vt:i4>5</vt:i4>
      </vt:variant>
      <vt:variant>
        <vt:lpwstr/>
      </vt:variant>
      <vt:variant>
        <vt:lpwstr>_Toc177114625</vt:lpwstr>
      </vt:variant>
      <vt:variant>
        <vt:i4>1507377</vt:i4>
      </vt:variant>
      <vt:variant>
        <vt:i4>47</vt:i4>
      </vt:variant>
      <vt:variant>
        <vt:i4>0</vt:i4>
      </vt:variant>
      <vt:variant>
        <vt:i4>5</vt:i4>
      </vt:variant>
      <vt:variant>
        <vt:lpwstr/>
      </vt:variant>
      <vt:variant>
        <vt:lpwstr>_Toc177114624</vt:lpwstr>
      </vt:variant>
      <vt:variant>
        <vt:i4>1507377</vt:i4>
      </vt:variant>
      <vt:variant>
        <vt:i4>41</vt:i4>
      </vt:variant>
      <vt:variant>
        <vt:i4>0</vt:i4>
      </vt:variant>
      <vt:variant>
        <vt:i4>5</vt:i4>
      </vt:variant>
      <vt:variant>
        <vt:lpwstr/>
      </vt:variant>
      <vt:variant>
        <vt:lpwstr>_Toc177114623</vt:lpwstr>
      </vt:variant>
      <vt:variant>
        <vt:i4>1507377</vt:i4>
      </vt:variant>
      <vt:variant>
        <vt:i4>35</vt:i4>
      </vt:variant>
      <vt:variant>
        <vt:i4>0</vt:i4>
      </vt:variant>
      <vt:variant>
        <vt:i4>5</vt:i4>
      </vt:variant>
      <vt:variant>
        <vt:lpwstr/>
      </vt:variant>
      <vt:variant>
        <vt:lpwstr>_Toc177114622</vt:lpwstr>
      </vt:variant>
      <vt:variant>
        <vt:i4>1507377</vt:i4>
      </vt:variant>
      <vt:variant>
        <vt:i4>29</vt:i4>
      </vt:variant>
      <vt:variant>
        <vt:i4>0</vt:i4>
      </vt:variant>
      <vt:variant>
        <vt:i4>5</vt:i4>
      </vt:variant>
      <vt:variant>
        <vt:lpwstr/>
      </vt:variant>
      <vt:variant>
        <vt:lpwstr>_Toc177114621</vt:lpwstr>
      </vt:variant>
      <vt:variant>
        <vt:i4>1507377</vt:i4>
      </vt:variant>
      <vt:variant>
        <vt:i4>23</vt:i4>
      </vt:variant>
      <vt:variant>
        <vt:i4>0</vt:i4>
      </vt:variant>
      <vt:variant>
        <vt:i4>5</vt:i4>
      </vt:variant>
      <vt:variant>
        <vt:lpwstr/>
      </vt:variant>
      <vt:variant>
        <vt:lpwstr>_Toc177114620</vt:lpwstr>
      </vt:variant>
      <vt:variant>
        <vt:i4>1310769</vt:i4>
      </vt:variant>
      <vt:variant>
        <vt:i4>17</vt:i4>
      </vt:variant>
      <vt:variant>
        <vt:i4>0</vt:i4>
      </vt:variant>
      <vt:variant>
        <vt:i4>5</vt:i4>
      </vt:variant>
      <vt:variant>
        <vt:lpwstr/>
      </vt:variant>
      <vt:variant>
        <vt:lpwstr>_Toc177114619</vt:lpwstr>
      </vt:variant>
      <vt:variant>
        <vt:i4>1310769</vt:i4>
      </vt:variant>
      <vt:variant>
        <vt:i4>11</vt:i4>
      </vt:variant>
      <vt:variant>
        <vt:i4>0</vt:i4>
      </vt:variant>
      <vt:variant>
        <vt:i4>5</vt:i4>
      </vt:variant>
      <vt:variant>
        <vt:lpwstr/>
      </vt:variant>
      <vt:variant>
        <vt:lpwstr>_Toc177114618</vt:lpwstr>
      </vt:variant>
      <vt:variant>
        <vt:i4>1310769</vt:i4>
      </vt:variant>
      <vt:variant>
        <vt:i4>5</vt:i4>
      </vt:variant>
      <vt:variant>
        <vt:i4>0</vt:i4>
      </vt:variant>
      <vt:variant>
        <vt:i4>5</vt:i4>
      </vt:variant>
      <vt:variant>
        <vt:lpwstr/>
      </vt:variant>
      <vt:variant>
        <vt:lpwstr>_Toc177114617</vt:lpwstr>
      </vt:variant>
      <vt:variant>
        <vt:i4>5046341</vt:i4>
      </vt:variant>
      <vt:variant>
        <vt:i4>0</vt:i4>
      </vt:variant>
      <vt:variant>
        <vt:i4>0</vt:i4>
      </vt:variant>
      <vt:variant>
        <vt:i4>5</vt:i4>
      </vt:variant>
      <vt:variant>
        <vt:lpwstr>https://www.accan.org.au/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Benjamin</dc:creator>
  <cp:keywords/>
  <dc:description/>
  <cp:lastModifiedBy>Bryan Benjamin</cp:lastModifiedBy>
  <cp:revision>460</cp:revision>
  <dcterms:created xsi:type="dcterms:W3CDTF">2024-08-10T12:23:00Z</dcterms:created>
  <dcterms:modified xsi:type="dcterms:W3CDTF">2024-09-27T07:20:00Z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0x010100E703DFEEE2AB7645B44ACEC0756110F6</vt:lpwstr>
  </property>
  <property fmtid="{D5CDD505-2E9C-101B-9397-08002B2CF9AE}" pid="3" name="MediaServiceImageTags">
    <vt:lpwstr/>
  </property>
</Properties>
</file>